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D77" w:rsidRDefault="004B1D77" w:rsidP="00E22CE8">
      <w:pPr>
        <w:spacing w:line="288" w:lineRule="auto"/>
        <w:jc w:val="center"/>
        <w:rPr>
          <w:rFonts w:cs="Arial"/>
          <w:b/>
          <w:sz w:val="24"/>
          <w:szCs w:val="24"/>
        </w:rPr>
      </w:pPr>
    </w:p>
    <w:p w:rsidR="00052ABA" w:rsidRPr="00FC2395" w:rsidRDefault="00F4344D" w:rsidP="00E22CE8">
      <w:pPr>
        <w:spacing w:line="288" w:lineRule="auto"/>
        <w:jc w:val="center"/>
        <w:rPr>
          <w:sz w:val="24"/>
          <w:szCs w:val="24"/>
        </w:rPr>
      </w:pPr>
      <w:r w:rsidRPr="00FC2395">
        <w:rPr>
          <w:rFonts w:cs="Arial"/>
          <w:b/>
          <w:sz w:val="24"/>
          <w:szCs w:val="24"/>
        </w:rPr>
        <w:t>Уважаемы</w:t>
      </w:r>
      <w:r w:rsidR="00B91A72">
        <w:rPr>
          <w:rFonts w:cs="Arial"/>
          <w:b/>
          <w:sz w:val="24"/>
          <w:szCs w:val="24"/>
        </w:rPr>
        <w:t>е коллеги</w:t>
      </w:r>
      <w:r w:rsidR="00052ABA" w:rsidRPr="00FC2395">
        <w:rPr>
          <w:rFonts w:cs="Arial"/>
          <w:b/>
          <w:sz w:val="24"/>
          <w:szCs w:val="24"/>
        </w:rPr>
        <w:t>!</w:t>
      </w:r>
    </w:p>
    <w:p w:rsidR="00E22CE8" w:rsidRDefault="00E22CE8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ind w:firstLine="709"/>
        <w:jc w:val="both"/>
        <w:rPr>
          <w:rFonts w:ascii="Arial" w:hAnsi="Arial" w:cs="Arial"/>
          <w:szCs w:val="24"/>
        </w:rPr>
      </w:pPr>
    </w:p>
    <w:p w:rsidR="00FC0BDE" w:rsidRDefault="00FC0BDE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Ниже изложен ряд возможных инициатив </w:t>
      </w:r>
      <w:r w:rsidR="00E22CE8">
        <w:rPr>
          <w:rFonts w:ascii="Arial" w:hAnsi="Arial" w:cs="Arial"/>
          <w:szCs w:val="24"/>
        </w:rPr>
        <w:t xml:space="preserve">АПКИТ </w:t>
      </w:r>
      <w:r>
        <w:rPr>
          <w:rFonts w:ascii="Arial" w:hAnsi="Arial" w:cs="Arial"/>
          <w:szCs w:val="24"/>
        </w:rPr>
        <w:t>по теме «</w:t>
      </w:r>
      <w:proofErr w:type="spellStart"/>
      <w:r>
        <w:rPr>
          <w:rFonts w:ascii="Arial" w:hAnsi="Arial" w:cs="Arial"/>
          <w:szCs w:val="24"/>
        </w:rPr>
        <w:t>михалковского</w:t>
      </w:r>
      <w:proofErr w:type="spellEnd"/>
      <w:r>
        <w:rPr>
          <w:rFonts w:ascii="Arial" w:hAnsi="Arial" w:cs="Arial"/>
          <w:szCs w:val="24"/>
        </w:rPr>
        <w:t>» сбора (1%</w:t>
      </w:r>
      <w:r w:rsidR="00E22CE8">
        <w:rPr>
          <w:rFonts w:ascii="Arial" w:hAnsi="Arial" w:cs="Arial"/>
          <w:szCs w:val="24"/>
        </w:rPr>
        <w:t xml:space="preserve"> за свободное воспроизведение).</w:t>
      </w:r>
    </w:p>
    <w:p w:rsidR="00FC0BDE" w:rsidRDefault="00FC0BDE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Абсолютного единства по всем инициативам мы вряд ли добьемся. Но те предложения, которые вас особенно раздражают, мы выкинем. С остальными пойдем в Думу, в РСПП, к омбудсмену и др.</w:t>
      </w:r>
    </w:p>
    <w:p w:rsidR="00FC0BDE" w:rsidRDefault="00FC0BDE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Итак – напишите в анкете напротив тех пунктов, которые вам активно не нравятся слово «Против»</w:t>
      </w:r>
      <w:r w:rsidR="000967A7">
        <w:rPr>
          <w:rFonts w:ascii="Arial" w:hAnsi="Arial" w:cs="Arial"/>
          <w:szCs w:val="24"/>
        </w:rPr>
        <w:t xml:space="preserve"> (желательно, пояснив, почему так)</w:t>
      </w:r>
      <w:r>
        <w:rPr>
          <w:rFonts w:ascii="Arial" w:hAnsi="Arial" w:cs="Arial"/>
          <w:szCs w:val="24"/>
        </w:rPr>
        <w:t>.</w:t>
      </w:r>
      <w:r w:rsidR="00E22CE8">
        <w:rPr>
          <w:rFonts w:ascii="Arial" w:hAnsi="Arial" w:cs="Arial"/>
          <w:szCs w:val="24"/>
        </w:rPr>
        <w:t xml:space="preserve"> </w:t>
      </w:r>
      <w:proofErr w:type="gramStart"/>
      <w:r w:rsidR="00E22CE8">
        <w:rPr>
          <w:rFonts w:ascii="Arial" w:hAnsi="Arial" w:cs="Arial"/>
          <w:szCs w:val="24"/>
        </w:rPr>
        <w:t>Что считаете нужным поправить – поправьте в режиме правки.</w:t>
      </w:r>
      <w:proofErr w:type="gramEnd"/>
    </w:p>
    <w:p w:rsidR="00882D18" w:rsidRDefault="00882D18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Внизу таблицы можно добавить дополнительные предложения</w:t>
      </w:r>
    </w:p>
    <w:p w:rsidR="00E22CE8" w:rsidRDefault="00E22CE8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ind w:firstLine="709"/>
        <w:jc w:val="both"/>
        <w:rPr>
          <w:rFonts w:ascii="Arial" w:hAnsi="Arial" w:cs="Arial"/>
          <w:szCs w:val="24"/>
        </w:rPr>
      </w:pPr>
    </w:p>
    <w:p w:rsidR="00E22CE8" w:rsidRDefault="00E22CE8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 уважением, Николай Комлев, Марина Никитина</w:t>
      </w:r>
    </w:p>
    <w:p w:rsidR="00FC0BDE" w:rsidRDefault="00FC0BDE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jc w:val="both"/>
        <w:rPr>
          <w:rFonts w:ascii="Arial" w:hAnsi="Arial" w:cs="Arial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523"/>
      </w:tblGrid>
      <w:tr w:rsidR="00FC0BDE" w:rsidTr="00FC0BDE">
        <w:tc>
          <w:tcPr>
            <w:tcW w:w="534" w:type="dxa"/>
            <w:shd w:val="clear" w:color="auto" w:fill="EEECE1" w:themeFill="background2"/>
            <w:vAlign w:val="center"/>
          </w:tcPr>
          <w:p w:rsidR="00FC0BDE" w:rsidRP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</w:t>
            </w:r>
          </w:p>
        </w:tc>
        <w:tc>
          <w:tcPr>
            <w:tcW w:w="7796" w:type="dxa"/>
            <w:shd w:val="clear" w:color="auto" w:fill="EEECE1" w:themeFill="background2"/>
            <w:vAlign w:val="center"/>
          </w:tcPr>
          <w:p w:rsidR="00FC0BDE" w:rsidRP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Предложение</w:t>
            </w:r>
          </w:p>
        </w:tc>
        <w:tc>
          <w:tcPr>
            <w:tcW w:w="1523" w:type="dxa"/>
            <w:shd w:val="clear" w:color="auto" w:fill="EEECE1" w:themeFill="background2"/>
            <w:vAlign w:val="center"/>
          </w:tcPr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/ П</w:t>
            </w:r>
            <w:proofErr w:type="gramEnd"/>
            <w:r>
              <w:rPr>
                <w:rFonts w:ascii="Arial" w:hAnsi="Arial" w:cs="Arial"/>
                <w:szCs w:val="24"/>
              </w:rPr>
              <w:t>ротив</w:t>
            </w:r>
          </w:p>
        </w:tc>
      </w:tr>
      <w:tr w:rsidR="00FC0BDE" w:rsidTr="00FC0BDE">
        <w:tc>
          <w:tcPr>
            <w:tcW w:w="534" w:type="dxa"/>
            <w:vAlign w:val="center"/>
          </w:tcPr>
          <w:p w:rsidR="00FC0BDE" w:rsidRDefault="007C311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FC0BDE" w:rsidRDefault="00911CAB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 w:rsidRPr="00911CAB">
              <w:rPr>
                <w:rFonts w:ascii="Arial" w:hAnsi="Arial" w:cs="Arial"/>
                <w:szCs w:val="24"/>
              </w:rPr>
              <w:t>Рассмотреть вопрос о том, чтобы эт</w:t>
            </w:r>
            <w:r>
              <w:rPr>
                <w:rFonts w:ascii="Arial" w:hAnsi="Arial" w:cs="Arial"/>
                <w:szCs w:val="24"/>
              </w:rPr>
              <w:t>от сбор/</w:t>
            </w:r>
            <w:r w:rsidRPr="00911CAB">
              <w:rPr>
                <w:rFonts w:ascii="Arial" w:hAnsi="Arial" w:cs="Arial"/>
                <w:szCs w:val="24"/>
              </w:rPr>
              <w:t xml:space="preserve"> платеж был определен Федеральным законом, а не постановлением Правительства</w:t>
            </w:r>
          </w:p>
          <w:p w:rsidR="001D59B1" w:rsidRDefault="001D59B1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FC0BDE" w:rsidTr="00FC0BDE">
        <w:tc>
          <w:tcPr>
            <w:tcW w:w="534" w:type="dxa"/>
            <w:vAlign w:val="center"/>
          </w:tcPr>
          <w:p w:rsidR="00FC0BDE" w:rsidRDefault="007C311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6B2F16" w:rsidRDefault="00911CAB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 w:rsidRPr="00911CAB">
              <w:rPr>
                <w:rFonts w:ascii="Arial" w:hAnsi="Arial" w:cs="Arial"/>
                <w:szCs w:val="24"/>
              </w:rPr>
              <w:t xml:space="preserve">Зафиксировать в законе </w:t>
            </w:r>
            <w:r w:rsidR="004B6AC3">
              <w:rPr>
                <w:rFonts w:ascii="Arial" w:hAnsi="Arial" w:cs="Arial"/>
                <w:szCs w:val="24"/>
              </w:rPr>
              <w:t xml:space="preserve">(в 4-й части ГК, в НК и/ или в отдельном законе) </w:t>
            </w:r>
            <w:r w:rsidRPr="00911CAB">
              <w:rPr>
                <w:rFonts w:ascii="Arial" w:hAnsi="Arial" w:cs="Arial"/>
                <w:szCs w:val="24"/>
              </w:rPr>
              <w:t>правовую природу сбора</w:t>
            </w:r>
            <w:r w:rsidR="006B2F16">
              <w:rPr>
                <w:rFonts w:ascii="Arial" w:hAnsi="Arial" w:cs="Arial"/>
                <w:szCs w:val="24"/>
              </w:rPr>
              <w:t>:</w:t>
            </w:r>
          </w:p>
          <w:p w:rsidR="006B2F16" w:rsidRDefault="006B2F1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- </w:t>
            </w:r>
            <w:r w:rsidRPr="006B2F16">
              <w:rPr>
                <w:rFonts w:ascii="Arial" w:hAnsi="Arial" w:cs="Arial"/>
                <w:szCs w:val="24"/>
              </w:rPr>
              <w:t xml:space="preserve">отнести сбор либо к таможенным платежам, либо к таможенным сборам, либо к налогам </w:t>
            </w:r>
          </w:p>
          <w:p w:rsidR="006B2F16" w:rsidRDefault="006B2F1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6B2F16">
              <w:rPr>
                <w:rFonts w:ascii="Arial" w:hAnsi="Arial" w:cs="Arial"/>
                <w:i/>
                <w:szCs w:val="24"/>
              </w:rPr>
              <w:t>в настоящий момент основания и порядок сбора для выплаты авторского вознаграждения определены в статье 1245 Гражданского Кодекса РФ, что позволяет отнести данный сбор к выплатам гражданско-правового характера, которые осуществляются исходя из принципа равенства сторон  правоотношений на основании заключенного договора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4B6AC3" w:rsidRDefault="006B2F1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- формулировка должна однозначно быть «удобной» для плательщика, для его бухгалтерии</w:t>
            </w:r>
            <w:r w:rsidR="00911CAB" w:rsidRPr="00911CAB">
              <w:rPr>
                <w:rFonts w:ascii="Arial" w:hAnsi="Arial" w:cs="Arial"/>
                <w:szCs w:val="24"/>
              </w:rPr>
              <w:t>, например, для отнесения в состав затрат</w:t>
            </w:r>
          </w:p>
          <w:p w:rsidR="004B6AC3" w:rsidRDefault="004B6AC3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(</w:t>
            </w:r>
            <w:r w:rsidRPr="004B6AC3">
              <w:rPr>
                <w:rFonts w:ascii="Arial" w:hAnsi="Arial" w:cs="Arial"/>
                <w:i/>
                <w:szCs w:val="24"/>
              </w:rPr>
              <w:t>в этих целях целесообразно  внести изменения в Налоговом кодексе РФ в части включения затрат плательщиков на уплату сбора в расходы для целей налогооблагаемой базы по налогу на прибыль.</w:t>
            </w:r>
            <w:proofErr w:type="gramEnd"/>
            <w:r w:rsidRPr="004B6AC3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gramStart"/>
            <w:r w:rsidRPr="004B6AC3">
              <w:rPr>
                <w:rFonts w:ascii="Arial" w:hAnsi="Arial" w:cs="Arial"/>
                <w:i/>
                <w:szCs w:val="24"/>
              </w:rPr>
              <w:t>На текущий момент отсутствие норм об отнесении сбора на расходы влечет риск предъявления претензий со стороны налоговых органов для налогоплательщиков по налогу на прибыл</w:t>
            </w:r>
            <w:r w:rsidRPr="004B6AC3">
              <w:rPr>
                <w:rFonts w:ascii="Arial" w:hAnsi="Arial" w:cs="Arial"/>
                <w:szCs w:val="24"/>
              </w:rPr>
              <w:t>ь</w:t>
            </w:r>
            <w:r>
              <w:rPr>
                <w:rFonts w:ascii="Arial" w:hAnsi="Arial" w:cs="Arial"/>
                <w:szCs w:val="24"/>
              </w:rPr>
              <w:t>)</w:t>
            </w:r>
            <w:proofErr w:type="gramEnd"/>
          </w:p>
          <w:p w:rsidR="001D59B1" w:rsidRDefault="001D59B1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FC0BDE" w:rsidTr="00FC0BDE">
        <w:tc>
          <w:tcPr>
            <w:tcW w:w="534" w:type="dxa"/>
            <w:vAlign w:val="center"/>
          </w:tcPr>
          <w:p w:rsidR="00FC0BDE" w:rsidRDefault="007C311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7796" w:type="dxa"/>
            <w:vAlign w:val="center"/>
          </w:tcPr>
          <w:p w:rsidR="00EB3A1B" w:rsidRPr="00EB3A1B" w:rsidRDefault="00EB3A1B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 w:rsidRPr="00EB3A1B">
              <w:rPr>
                <w:rFonts w:ascii="Arial" w:hAnsi="Arial" w:cs="Arial"/>
                <w:szCs w:val="24"/>
              </w:rPr>
              <w:t>Проработать с участием ИТ-отрасли (отраслевых объединений и отраслевого регулятора) механизм сбора. В частности:</w:t>
            </w:r>
          </w:p>
          <w:p w:rsidR="00EB3A1B" w:rsidRPr="00EB3A1B" w:rsidRDefault="00EB3A1B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 w:rsidRPr="00EB3A1B">
              <w:rPr>
                <w:rFonts w:ascii="Arial" w:hAnsi="Arial" w:cs="Arial"/>
                <w:szCs w:val="24"/>
              </w:rPr>
              <w:t>- установить четкие критерии и процедуры решения вопросов отнесения оборудования к подлежащему обложению сбором и неподлежащему;</w:t>
            </w:r>
          </w:p>
          <w:p w:rsidR="00EB3A1B" w:rsidRPr="00EB3A1B" w:rsidRDefault="00EB3A1B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 w:rsidRPr="00EB3A1B">
              <w:rPr>
                <w:rFonts w:ascii="Arial" w:hAnsi="Arial" w:cs="Arial"/>
                <w:szCs w:val="24"/>
              </w:rPr>
              <w:t>- ежегодно с участием ИТ-объединений, занимающихся производством и импортом ИТ-оборудования и товаров электроники, пересматривать перечень товаров, подлежащих обложению сбором;</w:t>
            </w:r>
          </w:p>
          <w:p w:rsidR="00EB3A1B" w:rsidRPr="00EB3A1B" w:rsidRDefault="00EB3A1B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 w:rsidRPr="00EB3A1B">
              <w:rPr>
                <w:rFonts w:ascii="Arial" w:hAnsi="Arial" w:cs="Arial"/>
                <w:szCs w:val="24"/>
              </w:rPr>
              <w:t>- установить обязательную процедуру досудебного урегулирования споров сборщика с импортерами;</w:t>
            </w:r>
          </w:p>
          <w:p w:rsidR="00384F14" w:rsidRDefault="00EB3A1B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</w:pPr>
            <w:r w:rsidRPr="00EB3A1B">
              <w:rPr>
                <w:rFonts w:ascii="Arial" w:hAnsi="Arial" w:cs="Arial"/>
                <w:szCs w:val="24"/>
              </w:rPr>
              <w:t>- вывести из-под сбора устройства, предназначенные для ремонта и технического обслуживания; оборудование, вывозимое с территории РФ в страны-члены ЕАЭС, конкретизировав понятие «экспорт».</w:t>
            </w:r>
            <w:r w:rsidR="00384F14">
              <w:t xml:space="preserve"> </w:t>
            </w:r>
          </w:p>
          <w:p w:rsidR="007C3116" w:rsidRDefault="00384F14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384F14">
              <w:rPr>
                <w:rFonts w:ascii="Arial" w:hAnsi="Arial" w:cs="Arial"/>
                <w:szCs w:val="24"/>
              </w:rPr>
              <w:t xml:space="preserve">исключить </w:t>
            </w:r>
            <w:proofErr w:type="gramStart"/>
            <w:r w:rsidRPr="00384F14">
              <w:rPr>
                <w:rFonts w:ascii="Arial" w:hAnsi="Arial" w:cs="Arial"/>
                <w:szCs w:val="24"/>
              </w:rPr>
              <w:t>профессиональное</w:t>
            </w:r>
            <w:proofErr w:type="gramEnd"/>
            <w:r w:rsidRPr="00384F14">
              <w:rPr>
                <w:rFonts w:ascii="Arial" w:hAnsi="Arial" w:cs="Arial"/>
                <w:szCs w:val="24"/>
              </w:rPr>
              <w:t xml:space="preserve"> ИКТ-оборудование (серверы, кинокамеры, кинопроекторы и пр.), цифровые камеры</w:t>
            </w:r>
          </w:p>
          <w:p w:rsidR="001D59B1" w:rsidRDefault="001D59B1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FC0BDE" w:rsidTr="00FC0BDE">
        <w:tc>
          <w:tcPr>
            <w:tcW w:w="534" w:type="dxa"/>
            <w:vAlign w:val="center"/>
          </w:tcPr>
          <w:p w:rsidR="00FC0BDE" w:rsidRDefault="006B2F1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2A6CC6" w:rsidRPr="002A6CC6" w:rsidRDefault="002A6CC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 w:rsidRPr="002A6CC6">
              <w:rPr>
                <w:rFonts w:ascii="Arial" w:hAnsi="Arial" w:cs="Arial"/>
                <w:szCs w:val="24"/>
              </w:rPr>
              <w:t xml:space="preserve">Установить единый Перечень оборудования, подлежащего обложению сбором, как для импортеров, так и для производителей. </w:t>
            </w:r>
          </w:p>
          <w:p w:rsidR="002A6CC6" w:rsidRPr="002A6CC6" w:rsidRDefault="002A6CC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2A6CC6">
              <w:rPr>
                <w:rFonts w:ascii="Arial" w:hAnsi="Arial" w:cs="Arial"/>
                <w:szCs w:val="24"/>
              </w:rPr>
              <w:t xml:space="preserve">Использовать Перечень оборудования и носителей, подлежащих обложению сбором, руководствуясь наименованием товаров непосредственно в нормативном документе. </w:t>
            </w:r>
          </w:p>
          <w:p w:rsidR="002A6CC6" w:rsidRPr="002A6CC6" w:rsidRDefault="002A6CC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Pr="002A6CC6">
              <w:rPr>
                <w:rFonts w:ascii="Arial" w:hAnsi="Arial" w:cs="Arial"/>
                <w:szCs w:val="24"/>
              </w:rPr>
              <w:t xml:space="preserve"> Разработать критерии и принципы, на основе которых должен формироваться Перечень и рассчитываться ставка сбора. </w:t>
            </w:r>
          </w:p>
          <w:p w:rsidR="002A6CC6" w:rsidRPr="002A6CC6" w:rsidRDefault="002A6CC6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 w:rsidRPr="002A6CC6">
              <w:rPr>
                <w:rFonts w:ascii="Arial" w:hAnsi="Arial" w:cs="Arial"/>
                <w:szCs w:val="24"/>
              </w:rPr>
              <w:t>В Перечни оборудования и материальных носителей, утвержденные Постановлением №829, при наличии несовпадений по конкретным позициям, включены определенные категории объектов, при этом  отсутствует единая методика или единый критерий включения тех или иных видов оборудования в указанные перечни.</w:t>
            </w:r>
          </w:p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FC0BDE" w:rsidTr="00FC0BDE">
        <w:tc>
          <w:tcPr>
            <w:tcW w:w="534" w:type="dxa"/>
            <w:vAlign w:val="center"/>
          </w:tcPr>
          <w:p w:rsidR="00FC0BDE" w:rsidRDefault="00A917CB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917CB" w:rsidRDefault="005A247A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</w:t>
            </w:r>
            <w:r w:rsidR="00A917CB" w:rsidRPr="00A917CB">
              <w:rPr>
                <w:rFonts w:ascii="Arial" w:hAnsi="Arial" w:cs="Arial"/>
                <w:szCs w:val="24"/>
              </w:rPr>
              <w:t>меньшить размер платежа  с 1% до 0,5%</w:t>
            </w:r>
            <w:r w:rsidR="00A917CB">
              <w:rPr>
                <w:rFonts w:ascii="Arial" w:hAnsi="Arial" w:cs="Arial"/>
                <w:szCs w:val="24"/>
              </w:rPr>
              <w:t xml:space="preserve">, при этом усилив </w:t>
            </w:r>
            <w:proofErr w:type="gramStart"/>
            <w:r w:rsidR="00A917CB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="00A917CB">
              <w:rPr>
                <w:rFonts w:ascii="Arial" w:hAnsi="Arial" w:cs="Arial"/>
                <w:szCs w:val="24"/>
              </w:rPr>
              <w:t xml:space="preserve"> его собираемостью</w:t>
            </w:r>
            <w:r>
              <w:rPr>
                <w:rFonts w:ascii="Arial" w:hAnsi="Arial" w:cs="Arial"/>
                <w:szCs w:val="24"/>
              </w:rPr>
              <w:t>. В этом случае</w:t>
            </w:r>
          </w:p>
          <w:p w:rsidR="005A247A" w:rsidRDefault="005A247A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ассоциация АПКИТ готова инициировать общественный контроль  оплаты сбора всеми ведущими импортерами (по аналогии с </w:t>
            </w:r>
            <w:r>
              <w:rPr>
                <w:rFonts w:ascii="Arial" w:hAnsi="Arial" w:cs="Arial"/>
                <w:szCs w:val="24"/>
              </w:rPr>
              <w:lastRenderedPageBreak/>
              <w:t>Хартией, направленной против занижения НДС при импорте, благодаря чему удалось поднять собираемость налогов в 4 раза)</w:t>
            </w:r>
          </w:p>
          <w:p w:rsidR="00F60B87" w:rsidRDefault="00F60B87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FC0BDE" w:rsidTr="00FC0BDE">
        <w:tc>
          <w:tcPr>
            <w:tcW w:w="534" w:type="dxa"/>
            <w:vAlign w:val="center"/>
          </w:tcPr>
          <w:p w:rsidR="00FC0BDE" w:rsidRDefault="005A247A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7796" w:type="dxa"/>
            <w:vAlign w:val="center"/>
          </w:tcPr>
          <w:p w:rsidR="005A247A" w:rsidRPr="005A247A" w:rsidRDefault="005A247A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88" w:lineRule="auto"/>
              <w:rPr>
                <w:rFonts w:ascii="Arial" w:hAnsi="Arial" w:cs="Arial"/>
                <w:szCs w:val="24"/>
              </w:rPr>
            </w:pPr>
            <w:r w:rsidRPr="005A247A">
              <w:rPr>
                <w:rFonts w:ascii="Arial" w:hAnsi="Arial" w:cs="Arial"/>
                <w:szCs w:val="24"/>
              </w:rPr>
              <w:t>Перенести функции по уплате сбора с импортеров и производителей на организации, специализирующиеся на розничной торговле, так как, во-первых, отделить оборудование, которое будет использоваться в личных целях, от остального, можно только на уровне розничной продажи. Во-вторых, при уплате сбора импортерами при наличии канала «параллельного импорта» они будут поставлены в неравные конкурентные условия на соответствующих рынках.</w:t>
            </w:r>
          </w:p>
          <w:p w:rsidR="00FC0BDE" w:rsidRDefault="005A247A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 w:rsidRPr="005A247A">
              <w:rPr>
                <w:rFonts w:ascii="Arial" w:hAnsi="Arial" w:cs="Arial"/>
                <w:szCs w:val="24"/>
              </w:rPr>
              <w:t>Возможно, предусмотреть фиксирование данного сбора отдельной строкой в чеке покупателя.</w:t>
            </w:r>
          </w:p>
          <w:p w:rsidR="00F60B87" w:rsidRDefault="00F60B87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FC0BDE" w:rsidTr="00FC0BDE">
        <w:tc>
          <w:tcPr>
            <w:tcW w:w="534" w:type="dxa"/>
            <w:vAlign w:val="center"/>
          </w:tcPr>
          <w:p w:rsidR="00FC0BDE" w:rsidRDefault="00F60B87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FC0BDE" w:rsidRDefault="00F60B87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Совместно с Минэкономразвития и некоммерческими объединениями ИТ-индустрии написать и зафиксировать четкую однозначную методику расчеты суммы сбора.</w:t>
            </w:r>
          </w:p>
          <w:p w:rsidR="00F60B87" w:rsidRDefault="00F60B87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Главный смысл – чтобы % не исчисляли от стоимости всего изделия (сервера, автомобиля, холодильника), а насчитывали от стоимости памяти данного устройства. Таблицу стоимости памяти можно утверждать раз в год. </w:t>
            </w:r>
          </w:p>
          <w:p w:rsidR="00F60B87" w:rsidRDefault="00F60B87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Ассоциация АПКИТ готова предоставлять обоснованные данные для такой таблицы.</w:t>
            </w:r>
          </w:p>
          <w:p w:rsidR="00F60B87" w:rsidRDefault="00F60B87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C0BDE" w:rsidRDefault="00FC0BDE" w:rsidP="00E22CE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before="0" w:after="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:rsidR="00FC0BDE" w:rsidRDefault="00FC0BDE" w:rsidP="00E22CE8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jc w:val="both"/>
        <w:rPr>
          <w:rFonts w:ascii="Arial" w:hAnsi="Arial" w:cs="Arial"/>
          <w:szCs w:val="24"/>
        </w:rPr>
      </w:pPr>
    </w:p>
    <w:p w:rsidR="007D29AC" w:rsidRDefault="005A247A" w:rsidP="00E22CE8">
      <w:pPr>
        <w:spacing w:after="40"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___</w:t>
      </w:r>
    </w:p>
    <w:sectPr w:rsidR="007D29AC" w:rsidSect="00B63F6F">
      <w:headerReference w:type="default" r:id="rId8"/>
      <w:footerReference w:type="default" r:id="rId9"/>
      <w:pgSz w:w="11906" w:h="16838"/>
      <w:pgMar w:top="680" w:right="851" w:bottom="680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83" w:rsidRDefault="00B65683">
      <w:r>
        <w:separator/>
      </w:r>
    </w:p>
  </w:endnote>
  <w:endnote w:type="continuationSeparator" w:id="0">
    <w:p w:rsidR="00B65683" w:rsidRDefault="00B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8" w:rsidRDefault="008B0B81">
    <w:pPr>
      <w:pBdr>
        <w:top w:val="single" w:sz="4" w:space="1" w:color="000000"/>
      </w:pBdr>
      <w:ind w:firstLine="360"/>
      <w:jc w:val="right"/>
      <w:rPr>
        <w:i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F58F38D" wp14:editId="528436D2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76835" cy="1593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8" w:rsidRDefault="006A09F8">
                          <w:pPr>
                            <w:pStyle w:val="af2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967A7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.05pt;width:6.05pt;height:12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3CiQ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" stroked="f">
              <v:fill opacity="0"/>
              <v:textbox inset="0,0,0,0">
                <w:txbxContent>
                  <w:p w:rsidR="006A09F8" w:rsidRDefault="006A09F8">
                    <w:pPr>
                      <w:pStyle w:val="af2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967A7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91A72" w:rsidRPr="00B91A72">
      <w:t xml:space="preserve"> </w:t>
    </w:r>
    <w:r w:rsidR="00B91A72" w:rsidRPr="00B91A72">
      <w:rPr>
        <w:i/>
        <w:sz w:val="20"/>
      </w:rPr>
      <w:t>Ассоциация предприятий компьютерных и информационных технологий</w:t>
    </w:r>
  </w:p>
  <w:p w:rsidR="006A09F8" w:rsidRPr="00F04F07" w:rsidRDefault="00B91A72" w:rsidP="00B91A72">
    <w:pPr>
      <w:pBdr>
        <w:top w:val="single" w:sz="4" w:space="1" w:color="000000"/>
      </w:pBdr>
      <w:ind w:firstLine="360"/>
      <w:jc w:val="right"/>
      <w:rPr>
        <w:i/>
        <w:sz w:val="20"/>
        <w:lang w:val="de-DE"/>
      </w:rPr>
    </w:pPr>
    <w:r w:rsidRPr="00B91A72">
      <w:rPr>
        <w:i/>
        <w:sz w:val="20"/>
      </w:rPr>
      <w:t>Тел. +7495 739-8928; e-</w:t>
    </w:r>
    <w:proofErr w:type="spellStart"/>
    <w:r w:rsidRPr="00B91A72">
      <w:rPr>
        <w:i/>
        <w:sz w:val="20"/>
      </w:rPr>
      <w:t>mail</w:t>
    </w:r>
    <w:proofErr w:type="spellEnd"/>
    <w:r w:rsidRPr="00B91A72">
      <w:rPr>
        <w:i/>
        <w:sz w:val="20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83" w:rsidRDefault="00B65683">
      <w:r>
        <w:separator/>
      </w:r>
    </w:p>
  </w:footnote>
  <w:footnote w:type="continuationSeparator" w:id="0">
    <w:p w:rsidR="00B65683" w:rsidRDefault="00B6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168"/>
    </w:tblGrid>
    <w:tr w:rsidR="00B63F6F" w:rsidRPr="00B63F6F" w:rsidTr="00BD5438">
      <w:tc>
        <w:tcPr>
          <w:tcW w:w="2552" w:type="dxa"/>
        </w:tcPr>
        <w:p w:rsidR="00B63F6F" w:rsidRPr="00B63F6F" w:rsidRDefault="00B63F6F" w:rsidP="00B63F6F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Times New Roman" w:hAnsi="Times New Roman"/>
              <w:sz w:val="16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0BFC714" wp14:editId="684522E7">
                <wp:extent cx="1524000" cy="542925"/>
                <wp:effectExtent l="0" t="0" r="0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8" w:type="dxa"/>
          <w:vAlign w:val="center"/>
        </w:tcPr>
        <w:p w:rsidR="00B63F6F" w:rsidRPr="00B63F6F" w:rsidRDefault="00B63F6F" w:rsidP="00B63F6F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cs="Arial"/>
              <w:color w:val="262626"/>
              <w:sz w:val="26"/>
              <w:szCs w:val="24"/>
              <w:lang w:eastAsia="ru-RU"/>
            </w:rPr>
          </w:pPr>
          <w:r w:rsidRPr="00B63F6F">
            <w:rPr>
              <w:rFonts w:cs="Arial"/>
              <w:color w:val="262626"/>
              <w:sz w:val="26"/>
              <w:szCs w:val="24"/>
              <w:lang w:eastAsia="ru-RU"/>
            </w:rPr>
            <w:t>Ассоциация предприятий компьютерных и</w:t>
          </w:r>
        </w:p>
        <w:p w:rsidR="00B63F6F" w:rsidRPr="00B63F6F" w:rsidRDefault="00B63F6F" w:rsidP="00B63F6F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cs="Arial"/>
              <w:sz w:val="26"/>
              <w:szCs w:val="24"/>
              <w:lang w:eastAsia="ru-RU"/>
            </w:rPr>
          </w:pPr>
          <w:r w:rsidRPr="00B63F6F">
            <w:rPr>
              <w:rFonts w:cs="Arial"/>
              <w:color w:val="262626"/>
              <w:sz w:val="26"/>
              <w:szCs w:val="24"/>
              <w:lang w:eastAsia="ru-RU"/>
            </w:rPr>
            <w:t>информационных технологий</w:t>
          </w:r>
        </w:p>
      </w:tc>
    </w:tr>
  </w:tbl>
  <w:p w:rsidR="006A09F8" w:rsidRDefault="006A09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07"/>
    <w:rsid w:val="000029D0"/>
    <w:rsid w:val="00020EE0"/>
    <w:rsid w:val="00022FB1"/>
    <w:rsid w:val="000432FD"/>
    <w:rsid w:val="00052ABA"/>
    <w:rsid w:val="00077371"/>
    <w:rsid w:val="000967A7"/>
    <w:rsid w:val="000D4895"/>
    <w:rsid w:val="000E3797"/>
    <w:rsid w:val="00107F75"/>
    <w:rsid w:val="001D59B1"/>
    <w:rsid w:val="00202634"/>
    <w:rsid w:val="00207C24"/>
    <w:rsid w:val="00230FCD"/>
    <w:rsid w:val="00232257"/>
    <w:rsid w:val="002422DC"/>
    <w:rsid w:val="002700D4"/>
    <w:rsid w:val="00277C2E"/>
    <w:rsid w:val="002A6CC6"/>
    <w:rsid w:val="002E5906"/>
    <w:rsid w:val="00305C60"/>
    <w:rsid w:val="0031744A"/>
    <w:rsid w:val="00353B70"/>
    <w:rsid w:val="00384F14"/>
    <w:rsid w:val="003D29C1"/>
    <w:rsid w:val="003F2AAD"/>
    <w:rsid w:val="003F4943"/>
    <w:rsid w:val="004B1D77"/>
    <w:rsid w:val="004B6AC3"/>
    <w:rsid w:val="004E1186"/>
    <w:rsid w:val="004F5FDB"/>
    <w:rsid w:val="0050414D"/>
    <w:rsid w:val="005078C6"/>
    <w:rsid w:val="00557484"/>
    <w:rsid w:val="005662CB"/>
    <w:rsid w:val="005A247A"/>
    <w:rsid w:val="005C012A"/>
    <w:rsid w:val="005C7CCA"/>
    <w:rsid w:val="005F699B"/>
    <w:rsid w:val="0061212D"/>
    <w:rsid w:val="006869C2"/>
    <w:rsid w:val="006A09F8"/>
    <w:rsid w:val="006A3101"/>
    <w:rsid w:val="006B2F16"/>
    <w:rsid w:val="006B4E6B"/>
    <w:rsid w:val="006F35D2"/>
    <w:rsid w:val="0072431E"/>
    <w:rsid w:val="0075136D"/>
    <w:rsid w:val="00775E30"/>
    <w:rsid w:val="007B197C"/>
    <w:rsid w:val="007C3116"/>
    <w:rsid w:val="007D29AC"/>
    <w:rsid w:val="007D72F7"/>
    <w:rsid w:val="007E64D2"/>
    <w:rsid w:val="00882D18"/>
    <w:rsid w:val="0089515A"/>
    <w:rsid w:val="008A17AC"/>
    <w:rsid w:val="008B0B81"/>
    <w:rsid w:val="008C3159"/>
    <w:rsid w:val="008F61E9"/>
    <w:rsid w:val="00911CAB"/>
    <w:rsid w:val="009444E8"/>
    <w:rsid w:val="009F6093"/>
    <w:rsid w:val="00A0564E"/>
    <w:rsid w:val="00A318B4"/>
    <w:rsid w:val="00A917CB"/>
    <w:rsid w:val="00A967A1"/>
    <w:rsid w:val="00B272FF"/>
    <w:rsid w:val="00B63F6F"/>
    <w:rsid w:val="00B65683"/>
    <w:rsid w:val="00B752CB"/>
    <w:rsid w:val="00B91A72"/>
    <w:rsid w:val="00BA66E0"/>
    <w:rsid w:val="00BE69D1"/>
    <w:rsid w:val="00C00782"/>
    <w:rsid w:val="00C24A1B"/>
    <w:rsid w:val="00CE107C"/>
    <w:rsid w:val="00CE4F1B"/>
    <w:rsid w:val="00D349B7"/>
    <w:rsid w:val="00D6333E"/>
    <w:rsid w:val="00D731CA"/>
    <w:rsid w:val="00DB7DDA"/>
    <w:rsid w:val="00E22CE8"/>
    <w:rsid w:val="00E46008"/>
    <w:rsid w:val="00E66E70"/>
    <w:rsid w:val="00E81D07"/>
    <w:rsid w:val="00E86BAF"/>
    <w:rsid w:val="00E95390"/>
    <w:rsid w:val="00EB3A1B"/>
    <w:rsid w:val="00EC4DFF"/>
    <w:rsid w:val="00EC609F"/>
    <w:rsid w:val="00EF0D77"/>
    <w:rsid w:val="00F04F07"/>
    <w:rsid w:val="00F15382"/>
    <w:rsid w:val="00F16B02"/>
    <w:rsid w:val="00F4344D"/>
    <w:rsid w:val="00F56D0A"/>
    <w:rsid w:val="00F60B87"/>
    <w:rsid w:val="00F733F8"/>
    <w:rsid w:val="00FC0BDE"/>
    <w:rsid w:val="00FC2395"/>
    <w:rsid w:val="00FE3FD0"/>
    <w:rsid w:val="00FE7DC4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jc w:val="lef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60"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b/>
      <w:smallCap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outlineLvl w:val="4"/>
    </w:pPr>
    <w:rPr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left"/>
      <w:outlineLvl w:val="7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DenisGudym">
    <w:name w:val="Denis Gudym"/>
    <w:rPr>
      <w:rFonts w:ascii="Arial" w:hAnsi="Arial" w:cs="Arial"/>
      <w:color w:val="auto"/>
      <w:sz w:val="20"/>
      <w:szCs w:val="20"/>
    </w:rPr>
  </w:style>
  <w:style w:type="character" w:customStyle="1" w:styleId="a6">
    <w:name w:val="Знак Знак"/>
    <w:rPr>
      <w:rFonts w:ascii="Arial" w:hAnsi="Arial"/>
      <w:sz w:val="22"/>
      <w:lang w:val="ru-RU" w:eastAsia="ar-SA" w:bidi="ar-SA"/>
    </w:rPr>
  </w:style>
  <w:style w:type="character" w:styleId="a7">
    <w:name w:val="page number"/>
    <w:basedOn w:val="10"/>
  </w:style>
  <w:style w:type="character" w:customStyle="1" w:styleId="a8">
    <w:name w:val="Текст сноски Знак"/>
    <w:rPr>
      <w:rFonts w:ascii="Arial" w:hAnsi="Aria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e">
    <w:name w:val="Body Text"/>
    <w:basedOn w:val="a"/>
    <w:pPr>
      <w:jc w:val="left"/>
    </w:pPr>
  </w:style>
  <w:style w:type="paragraph" w:styleId="af">
    <w:name w:val="List"/>
    <w:basedOn w:val="ae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pPr>
      <w:jc w:val="left"/>
    </w:p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jc w:val="left"/>
    </w:p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jc w:val="left"/>
    </w:pPr>
  </w:style>
  <w:style w:type="paragraph" w:styleId="af4">
    <w:name w:val="Body Text Indent"/>
    <w:basedOn w:val="a"/>
    <w:pPr>
      <w:ind w:firstLine="720"/>
    </w:pPr>
    <w:rPr>
      <w:sz w:val="20"/>
    </w:rPr>
  </w:style>
  <w:style w:type="paragraph" w:customStyle="1" w:styleId="text">
    <w:name w:val="text"/>
    <w:basedOn w:val="a"/>
    <w:pPr>
      <w:spacing w:before="100" w:after="100" w:line="255" w:lineRule="atLeast"/>
      <w:jc w:val="left"/>
    </w:pPr>
    <w:rPr>
      <w:rFonts w:cs="Arial"/>
      <w:color w:val="000000"/>
      <w:sz w:val="17"/>
      <w:szCs w:val="17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6">
    <w:name w:val="List Paragraph"/>
    <w:basedOn w:val="a"/>
    <w:qFormat/>
    <w:pPr>
      <w:ind w:left="72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styleId="afa">
    <w:name w:val="footnote text"/>
    <w:basedOn w:val="a"/>
    <w:rPr>
      <w:sz w:val="20"/>
    </w:rPr>
  </w:style>
  <w:style w:type="character" w:customStyle="1" w:styleId="14">
    <w:name w:val="Выделение1"/>
    <w:rsid w:val="00F4344D"/>
    <w:rPr>
      <w:rFonts w:ascii="Lucida Grande" w:eastAsia="ヒラギノ角ゴ Pro W3" w:hAnsi="Lucida Grande"/>
      <w:b w:val="0"/>
      <w:i w:val="0"/>
      <w:color w:val="000000"/>
      <w:sz w:val="22"/>
    </w:rPr>
  </w:style>
  <w:style w:type="paragraph" w:customStyle="1" w:styleId="15">
    <w:name w:val="Обычный (веб)1"/>
    <w:rsid w:val="00F4344D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character" w:customStyle="1" w:styleId="af1">
    <w:name w:val="Верхний колонтитул Знак"/>
    <w:link w:val="af0"/>
    <w:rsid w:val="005C7CCA"/>
    <w:rPr>
      <w:rFonts w:ascii="Arial" w:hAnsi="Arial"/>
      <w:sz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FC2395"/>
    <w:rPr>
      <w:rFonts w:ascii="Arial" w:hAnsi="Arial"/>
      <w:sz w:val="22"/>
      <w:lang w:eastAsia="ar-SA"/>
    </w:rPr>
  </w:style>
  <w:style w:type="table" w:styleId="afb">
    <w:name w:val="Table Grid"/>
    <w:basedOn w:val="a1"/>
    <w:rsid w:val="00FC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jc w:val="lef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60"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b/>
      <w:smallCap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outlineLvl w:val="4"/>
    </w:pPr>
    <w:rPr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left"/>
      <w:outlineLvl w:val="7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DenisGudym">
    <w:name w:val="Denis Gudym"/>
    <w:rPr>
      <w:rFonts w:ascii="Arial" w:hAnsi="Arial" w:cs="Arial"/>
      <w:color w:val="auto"/>
      <w:sz w:val="20"/>
      <w:szCs w:val="20"/>
    </w:rPr>
  </w:style>
  <w:style w:type="character" w:customStyle="1" w:styleId="a6">
    <w:name w:val="Знак Знак"/>
    <w:rPr>
      <w:rFonts w:ascii="Arial" w:hAnsi="Arial"/>
      <w:sz w:val="22"/>
      <w:lang w:val="ru-RU" w:eastAsia="ar-SA" w:bidi="ar-SA"/>
    </w:rPr>
  </w:style>
  <w:style w:type="character" w:styleId="a7">
    <w:name w:val="page number"/>
    <w:basedOn w:val="10"/>
  </w:style>
  <w:style w:type="character" w:customStyle="1" w:styleId="a8">
    <w:name w:val="Текст сноски Знак"/>
    <w:rPr>
      <w:rFonts w:ascii="Arial" w:hAnsi="Aria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e">
    <w:name w:val="Body Text"/>
    <w:basedOn w:val="a"/>
    <w:pPr>
      <w:jc w:val="left"/>
    </w:pPr>
  </w:style>
  <w:style w:type="paragraph" w:styleId="af">
    <w:name w:val="List"/>
    <w:basedOn w:val="ae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pPr>
      <w:jc w:val="left"/>
    </w:p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jc w:val="left"/>
    </w:p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jc w:val="left"/>
    </w:pPr>
  </w:style>
  <w:style w:type="paragraph" w:styleId="af4">
    <w:name w:val="Body Text Indent"/>
    <w:basedOn w:val="a"/>
    <w:pPr>
      <w:ind w:firstLine="720"/>
    </w:pPr>
    <w:rPr>
      <w:sz w:val="20"/>
    </w:rPr>
  </w:style>
  <w:style w:type="paragraph" w:customStyle="1" w:styleId="text">
    <w:name w:val="text"/>
    <w:basedOn w:val="a"/>
    <w:pPr>
      <w:spacing w:before="100" w:after="100" w:line="255" w:lineRule="atLeast"/>
      <w:jc w:val="left"/>
    </w:pPr>
    <w:rPr>
      <w:rFonts w:cs="Arial"/>
      <w:color w:val="000000"/>
      <w:sz w:val="17"/>
      <w:szCs w:val="17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6">
    <w:name w:val="List Paragraph"/>
    <w:basedOn w:val="a"/>
    <w:qFormat/>
    <w:pPr>
      <w:ind w:left="72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styleId="afa">
    <w:name w:val="footnote text"/>
    <w:basedOn w:val="a"/>
    <w:rPr>
      <w:sz w:val="20"/>
    </w:rPr>
  </w:style>
  <w:style w:type="character" w:customStyle="1" w:styleId="14">
    <w:name w:val="Выделение1"/>
    <w:rsid w:val="00F4344D"/>
    <w:rPr>
      <w:rFonts w:ascii="Lucida Grande" w:eastAsia="ヒラギノ角ゴ Pro W3" w:hAnsi="Lucida Grande"/>
      <w:b w:val="0"/>
      <w:i w:val="0"/>
      <w:color w:val="000000"/>
      <w:sz w:val="22"/>
    </w:rPr>
  </w:style>
  <w:style w:type="paragraph" w:customStyle="1" w:styleId="15">
    <w:name w:val="Обычный (веб)1"/>
    <w:rsid w:val="00F4344D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character" w:customStyle="1" w:styleId="af1">
    <w:name w:val="Верхний колонтитул Знак"/>
    <w:link w:val="af0"/>
    <w:rsid w:val="005C7CCA"/>
    <w:rPr>
      <w:rFonts w:ascii="Arial" w:hAnsi="Arial"/>
      <w:sz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FC2395"/>
    <w:rPr>
      <w:rFonts w:ascii="Arial" w:hAnsi="Arial"/>
      <w:sz w:val="22"/>
      <w:lang w:eastAsia="ar-SA"/>
    </w:rPr>
  </w:style>
  <w:style w:type="table" w:styleId="afb">
    <w:name w:val="Table Grid"/>
    <w:basedOn w:val="a1"/>
    <w:rsid w:val="00FC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Правительства</vt:lpstr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Правительства</dc:title>
  <dc:creator>Diarty</dc:creator>
  <cp:lastModifiedBy>Лао-Цзы</cp:lastModifiedBy>
  <cp:revision>26</cp:revision>
  <cp:lastPrinted>2009-09-28T09:36:00Z</cp:lastPrinted>
  <dcterms:created xsi:type="dcterms:W3CDTF">2012-12-07T08:26:00Z</dcterms:created>
  <dcterms:modified xsi:type="dcterms:W3CDTF">2017-08-30T10:07:00Z</dcterms:modified>
</cp:coreProperties>
</file>