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599" w:rsidRPr="00770599" w:rsidRDefault="00770599" w:rsidP="00770599">
      <w:pPr>
        <w:spacing w:after="0" w:line="240" w:lineRule="auto"/>
        <w:jc w:val="center"/>
        <w:rPr>
          <w:rFonts w:ascii="Verdana" w:eastAsia="Times New Roman" w:hAnsi="Verdana" w:cs="Times New Roman"/>
          <w:b/>
          <w:bCs/>
          <w:sz w:val="21"/>
          <w:szCs w:val="21"/>
          <w:lang w:eastAsia="ru-RU"/>
        </w:rPr>
      </w:pPr>
      <w:r w:rsidRPr="00770599">
        <w:rPr>
          <w:rFonts w:ascii="Arial" w:eastAsia="Times New Roman" w:hAnsi="Arial" w:cs="Arial"/>
          <w:b/>
          <w:bCs/>
          <w:sz w:val="24"/>
          <w:szCs w:val="24"/>
          <w:lang w:eastAsia="ru-RU"/>
        </w:rPr>
        <w:t>МИНИСТЕРСТВО ФИНАНСОВ РОССИЙСКОЙ ФЕДЕРАЦИИ</w:t>
      </w:r>
    </w:p>
    <w:p w:rsidR="00770599" w:rsidRDefault="00770599" w:rsidP="00770599">
      <w:pPr>
        <w:tabs>
          <w:tab w:val="left" w:pos="851"/>
        </w:tabs>
        <w:autoSpaceDE w:val="0"/>
        <w:autoSpaceDN w:val="0"/>
        <w:adjustRightInd w:val="0"/>
        <w:spacing w:line="264" w:lineRule="auto"/>
        <w:ind w:firstLine="567"/>
        <w:jc w:val="center"/>
        <w:rPr>
          <w:rFonts w:ascii="Arial" w:hAnsi="Arial"/>
          <w:b/>
        </w:rPr>
      </w:pPr>
    </w:p>
    <w:p w:rsidR="00770599" w:rsidRDefault="00770599" w:rsidP="00770599">
      <w:pPr>
        <w:tabs>
          <w:tab w:val="left" w:pos="851"/>
        </w:tabs>
        <w:autoSpaceDE w:val="0"/>
        <w:autoSpaceDN w:val="0"/>
        <w:adjustRightInd w:val="0"/>
        <w:spacing w:line="264" w:lineRule="auto"/>
        <w:ind w:firstLine="567"/>
        <w:jc w:val="center"/>
        <w:rPr>
          <w:rFonts w:ascii="Arial" w:hAnsi="Arial"/>
          <w:b/>
        </w:rPr>
      </w:pPr>
    </w:p>
    <w:p w:rsidR="00770599" w:rsidRPr="00B353D1" w:rsidRDefault="00770599" w:rsidP="00770599">
      <w:pPr>
        <w:tabs>
          <w:tab w:val="left" w:pos="851"/>
        </w:tabs>
        <w:autoSpaceDE w:val="0"/>
        <w:autoSpaceDN w:val="0"/>
        <w:adjustRightInd w:val="0"/>
        <w:spacing w:line="264" w:lineRule="auto"/>
        <w:ind w:firstLine="567"/>
        <w:jc w:val="center"/>
        <w:rPr>
          <w:rFonts w:ascii="Arial" w:hAnsi="Arial"/>
          <w:b/>
        </w:rPr>
      </w:pPr>
      <w:r w:rsidRPr="00B353D1">
        <w:rPr>
          <w:rFonts w:ascii="Arial" w:hAnsi="Arial"/>
          <w:b/>
        </w:rPr>
        <w:t>МИНИСТЕРСТВО ЦИФРОВОГО РАЗВИТИЯ, СВЯЗИ</w:t>
      </w:r>
    </w:p>
    <w:p w:rsidR="00770599" w:rsidRPr="00B353D1" w:rsidRDefault="00770599" w:rsidP="00770599">
      <w:pPr>
        <w:tabs>
          <w:tab w:val="left" w:pos="851"/>
        </w:tabs>
        <w:autoSpaceDE w:val="0"/>
        <w:autoSpaceDN w:val="0"/>
        <w:adjustRightInd w:val="0"/>
        <w:spacing w:line="264" w:lineRule="auto"/>
        <w:ind w:firstLine="567"/>
        <w:jc w:val="center"/>
        <w:rPr>
          <w:rFonts w:ascii="Arial" w:hAnsi="Arial"/>
          <w:b/>
        </w:rPr>
      </w:pPr>
      <w:r w:rsidRPr="00B353D1">
        <w:rPr>
          <w:rFonts w:ascii="Arial" w:hAnsi="Arial"/>
          <w:b/>
        </w:rPr>
        <w:t>И МАССОВЫХ КОММУНИКАЦИЙ РОССИЙСКОЙ ФЕДЕРАЦИИ</w:t>
      </w:r>
    </w:p>
    <w:p w:rsidR="00770599" w:rsidRDefault="00770599" w:rsidP="00770599">
      <w:pPr>
        <w:jc w:val="center"/>
        <w:rPr>
          <w:rFonts w:ascii="Arial" w:hAnsi="Arial" w:cs="Arial"/>
          <w:b/>
          <w:bCs/>
        </w:rPr>
      </w:pPr>
    </w:p>
    <w:p w:rsidR="00770599" w:rsidRDefault="00770599" w:rsidP="00770599">
      <w:pPr>
        <w:jc w:val="center"/>
        <w:rPr>
          <w:rFonts w:ascii="Verdana" w:hAnsi="Verdana"/>
          <w:b/>
          <w:bCs/>
          <w:sz w:val="21"/>
          <w:szCs w:val="21"/>
        </w:rPr>
      </w:pPr>
      <w:r>
        <w:rPr>
          <w:rFonts w:ascii="Arial" w:hAnsi="Arial" w:cs="Arial"/>
          <w:b/>
          <w:bCs/>
        </w:rPr>
        <w:t>О СОВМЕСТНОЙ ПОЗИЦИИ</w:t>
      </w:r>
    </w:p>
    <w:p w:rsidR="00770599" w:rsidRDefault="00770599" w:rsidP="00770599">
      <w:pPr>
        <w:jc w:val="center"/>
        <w:rPr>
          <w:rFonts w:ascii="Verdana" w:hAnsi="Verdana"/>
          <w:b/>
          <w:bCs/>
          <w:sz w:val="21"/>
          <w:szCs w:val="21"/>
        </w:rPr>
      </w:pPr>
      <w:r>
        <w:rPr>
          <w:rFonts w:ascii="Arial" w:hAnsi="Arial" w:cs="Arial"/>
          <w:b/>
          <w:bCs/>
        </w:rPr>
        <w:t xml:space="preserve">МИНФИНА РОССИИ И </w:t>
      </w:r>
      <w:r>
        <w:rPr>
          <w:rFonts w:ascii="Arial" w:hAnsi="Arial" w:cs="Arial"/>
          <w:b/>
          <w:bCs/>
        </w:rPr>
        <w:t>МИНЦИФРЫ</w:t>
      </w:r>
      <w:r>
        <w:rPr>
          <w:rFonts w:ascii="Arial" w:hAnsi="Arial" w:cs="Arial"/>
          <w:b/>
          <w:bCs/>
        </w:rPr>
        <w:t xml:space="preserve"> РОССИИ О ПРИМЕНЕНИИ</w:t>
      </w:r>
      <w:r>
        <w:rPr>
          <w:rFonts w:ascii="Arial" w:hAnsi="Arial" w:cs="Arial"/>
          <w:b/>
          <w:bCs/>
        </w:rPr>
        <w:t xml:space="preserve"> П.1.15 СТ.284, ПП.3 П.1 СТ.427 НАЛОГОВОГО КОДЕКСА РОССИЙСКОЙ ФЕДЕРАЦИИ</w:t>
      </w:r>
    </w:p>
    <w:p w:rsidR="00770599" w:rsidRPr="00B353D1" w:rsidRDefault="00770599" w:rsidP="00770599">
      <w:pPr>
        <w:tabs>
          <w:tab w:val="left" w:pos="851"/>
        </w:tabs>
        <w:autoSpaceDE w:val="0"/>
        <w:autoSpaceDN w:val="0"/>
        <w:adjustRightInd w:val="0"/>
        <w:spacing w:line="264" w:lineRule="auto"/>
        <w:ind w:firstLine="567"/>
        <w:jc w:val="center"/>
        <w:rPr>
          <w:rFonts w:ascii="Arial" w:hAnsi="Arial"/>
          <w:b/>
        </w:rPr>
      </w:pPr>
      <w:r w:rsidRPr="00B353D1">
        <w:rPr>
          <w:rFonts w:ascii="Arial" w:hAnsi="Arial"/>
          <w:b/>
        </w:rPr>
        <w:t xml:space="preserve">от        2021 г.   N     </w:t>
      </w:r>
    </w:p>
    <w:p w:rsidR="00770599" w:rsidRPr="00B353D1" w:rsidRDefault="00770599" w:rsidP="00770599">
      <w:pPr>
        <w:tabs>
          <w:tab w:val="left" w:pos="851"/>
        </w:tabs>
        <w:autoSpaceDE w:val="0"/>
        <w:autoSpaceDN w:val="0"/>
        <w:adjustRightInd w:val="0"/>
        <w:spacing w:line="264" w:lineRule="auto"/>
        <w:ind w:firstLine="567"/>
        <w:jc w:val="center"/>
        <w:rPr>
          <w:rFonts w:ascii="Arial" w:hAnsi="Arial"/>
          <w:b/>
        </w:rPr>
      </w:pPr>
    </w:p>
    <w:p w:rsidR="00770599" w:rsidRDefault="00770599" w:rsidP="00770599">
      <w:pPr>
        <w:pStyle w:val="ConsPlusNormal"/>
        <w:spacing w:after="160" w:line="264" w:lineRule="auto"/>
        <w:ind w:firstLine="709"/>
        <w:jc w:val="both"/>
        <w:rPr>
          <w:rFonts w:ascii="Arial" w:hAnsi="Arial"/>
        </w:rPr>
      </w:pPr>
      <w:r>
        <w:rPr>
          <w:rFonts w:ascii="Arial" w:hAnsi="Arial"/>
        </w:rPr>
        <w:t>В</w:t>
      </w:r>
      <w:r w:rsidRPr="00B353D1">
        <w:rPr>
          <w:rFonts w:ascii="Arial" w:hAnsi="Arial"/>
        </w:rPr>
        <w:t xml:space="preserve"> связи с возникающими вопросами </w:t>
      </w:r>
      <w:r w:rsidRPr="00E27B4B">
        <w:rPr>
          <w:rFonts w:ascii="Arial" w:hAnsi="Arial" w:cs="Arial"/>
          <w:szCs w:val="22"/>
        </w:rPr>
        <w:t xml:space="preserve">применения </w:t>
      </w:r>
      <w:r>
        <w:rPr>
          <w:rFonts w:ascii="Arial" w:hAnsi="Arial" w:cs="Arial"/>
          <w:szCs w:val="22"/>
        </w:rPr>
        <w:t xml:space="preserve">организациями, осуществляющими деятельность в области информационных технологий, </w:t>
      </w:r>
      <w:r w:rsidRPr="00E27B4B">
        <w:rPr>
          <w:rFonts w:ascii="Arial" w:hAnsi="Arial" w:cs="Arial"/>
          <w:szCs w:val="22"/>
        </w:rPr>
        <w:t>положения</w:t>
      </w:r>
      <w:r w:rsidRPr="00B353D1">
        <w:rPr>
          <w:rFonts w:ascii="Arial" w:hAnsi="Arial"/>
        </w:rPr>
        <w:t xml:space="preserve"> п.1.15 ст.284, подп.3</w:t>
      </w:r>
      <w:r w:rsidRPr="00E27B4B">
        <w:rPr>
          <w:rFonts w:ascii="Arial" w:hAnsi="Arial" w:cs="Arial"/>
          <w:szCs w:val="22"/>
        </w:rPr>
        <w:t xml:space="preserve"> </w:t>
      </w:r>
      <w:r w:rsidRPr="00B353D1">
        <w:rPr>
          <w:rFonts w:ascii="Arial" w:hAnsi="Arial"/>
        </w:rPr>
        <w:t>п.1</w:t>
      </w:r>
      <w:r w:rsidRPr="00E27B4B">
        <w:rPr>
          <w:rFonts w:ascii="Arial" w:hAnsi="Arial" w:cs="Arial"/>
          <w:szCs w:val="22"/>
        </w:rPr>
        <w:t xml:space="preserve"> </w:t>
      </w:r>
      <w:r w:rsidRPr="00B353D1">
        <w:rPr>
          <w:rFonts w:ascii="Arial" w:hAnsi="Arial"/>
        </w:rPr>
        <w:t xml:space="preserve">ст.427 Налогового кодекса Российской Федерации (далее- Кодекс), </w:t>
      </w:r>
      <w:r>
        <w:rPr>
          <w:rFonts w:ascii="Arial" w:hAnsi="Arial" w:cs="Arial"/>
          <w:szCs w:val="22"/>
        </w:rPr>
        <w:t>Министерство финансов и</w:t>
      </w:r>
      <w:r w:rsidRPr="00E27B4B">
        <w:rPr>
          <w:rFonts w:ascii="Arial" w:hAnsi="Arial" w:cs="Arial"/>
          <w:szCs w:val="22"/>
        </w:rPr>
        <w:t xml:space="preserve"> </w:t>
      </w:r>
      <w:r w:rsidRPr="00B353D1">
        <w:rPr>
          <w:rFonts w:ascii="Arial" w:hAnsi="Arial"/>
        </w:rPr>
        <w:t xml:space="preserve">Министерство цифрового развития, связи и массовых коммуникаций Российской Федерации </w:t>
      </w:r>
      <w:r w:rsidRPr="00770599">
        <w:rPr>
          <w:rFonts w:ascii="Arial" w:hAnsi="Arial"/>
        </w:rPr>
        <w:t>сообщают совместную позицию</w:t>
      </w:r>
      <w:r>
        <w:rPr>
          <w:rFonts w:ascii="Arial" w:hAnsi="Arial"/>
        </w:rPr>
        <w:t xml:space="preserve"> о</w:t>
      </w:r>
      <w:r>
        <w:rPr>
          <w:rFonts w:ascii="Arial" w:hAnsi="Arial"/>
        </w:rPr>
        <w:t>б определении категорий видов ИТ деятельности,</w:t>
      </w:r>
      <w:r w:rsidR="00785EC9">
        <w:rPr>
          <w:rFonts w:ascii="Arial" w:hAnsi="Arial"/>
        </w:rPr>
        <w:t xml:space="preserve"> при осуществлении которых организациям предоставляются меры государственного стимулирования, предусмотренные Кодексом, и определении кодов ОКВЭД организаций, которые вправе претендовать на предусмотренные Кодексом налоговые льготы. </w:t>
      </w:r>
    </w:p>
    <w:p w:rsidR="00785EC9" w:rsidRDefault="00785EC9" w:rsidP="00770599">
      <w:pPr>
        <w:pStyle w:val="ConsPlusNormal"/>
        <w:spacing w:after="160" w:line="264" w:lineRule="auto"/>
        <w:ind w:firstLine="709"/>
        <w:jc w:val="both"/>
        <w:rPr>
          <w:rFonts w:ascii="Arial" w:hAnsi="Arial"/>
          <w:b/>
        </w:rPr>
      </w:pPr>
    </w:p>
    <w:p w:rsidR="00770599" w:rsidRPr="00770599" w:rsidRDefault="00770599" w:rsidP="00770599">
      <w:pPr>
        <w:pStyle w:val="ConsPlusNormal"/>
        <w:spacing w:after="160" w:line="264" w:lineRule="auto"/>
        <w:ind w:firstLine="709"/>
        <w:jc w:val="both"/>
        <w:rPr>
          <w:rFonts w:ascii="Arial" w:hAnsi="Arial"/>
          <w:b/>
        </w:rPr>
      </w:pPr>
      <w:r>
        <w:rPr>
          <w:rFonts w:ascii="Arial" w:hAnsi="Arial"/>
          <w:b/>
        </w:rPr>
        <w:t>1</w:t>
      </w:r>
      <w:r w:rsidRPr="00770599">
        <w:rPr>
          <w:rFonts w:ascii="Arial" w:hAnsi="Arial"/>
          <w:b/>
        </w:rPr>
        <w:t xml:space="preserve">. Категории </w:t>
      </w:r>
      <w:r w:rsidR="00785EC9">
        <w:rPr>
          <w:rFonts w:ascii="Arial" w:hAnsi="Arial"/>
          <w:b/>
        </w:rPr>
        <w:t xml:space="preserve">видов деятельности в сфере информационных технологий, при осуществлении которых </w:t>
      </w:r>
      <w:r w:rsidRPr="00770599">
        <w:rPr>
          <w:rFonts w:ascii="Arial" w:hAnsi="Arial"/>
          <w:b/>
        </w:rPr>
        <w:t>предоставля</w:t>
      </w:r>
      <w:r w:rsidR="00785EC9">
        <w:rPr>
          <w:rFonts w:ascii="Arial" w:hAnsi="Arial"/>
          <w:b/>
        </w:rPr>
        <w:t>ю</w:t>
      </w:r>
      <w:r w:rsidRPr="00770599">
        <w:rPr>
          <w:rFonts w:ascii="Arial" w:hAnsi="Arial"/>
          <w:b/>
        </w:rPr>
        <w:t>тся меры государственного стимулирования</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Первый абзац п.1.15 ст. 284 НК РФ содержит перечень видов деятельности, при осуществлении которых организации вправе претендовать на получение мер государственного стимулирования.</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 xml:space="preserve">В связи с поступлением существенного числа запросов, касающихся определения категорий программ для ЭВМ и баз данных, в отношении которых предоставляются меры государственного стимулирования, обращаем внимание на необходимость системного толкования положений </w:t>
      </w:r>
      <w:proofErr w:type="spellStart"/>
      <w:r w:rsidRPr="00770599">
        <w:rPr>
          <w:rFonts w:ascii="Arial" w:hAnsi="Arial"/>
        </w:rPr>
        <w:t>абз</w:t>
      </w:r>
      <w:proofErr w:type="spellEnd"/>
      <w:r w:rsidRPr="00770599">
        <w:rPr>
          <w:rFonts w:ascii="Arial" w:hAnsi="Arial"/>
        </w:rPr>
        <w:t xml:space="preserve">. 1 и </w:t>
      </w:r>
      <w:proofErr w:type="spellStart"/>
      <w:r w:rsidRPr="00770599">
        <w:rPr>
          <w:rFonts w:ascii="Arial" w:hAnsi="Arial"/>
        </w:rPr>
        <w:t>абз</w:t>
      </w:r>
      <w:proofErr w:type="spellEnd"/>
      <w:r w:rsidRPr="00770599">
        <w:rPr>
          <w:rFonts w:ascii="Arial" w:hAnsi="Arial"/>
        </w:rPr>
        <w:t>. 4 п. 1.15 ст. 284 НК РФ в их совокупности.</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Первым абзацем п. 1.15 статьи 284 и подп. 3 п 1 статьи 427 НК РФ определено, что российские организации вправе применять налоговые льготы по прибыли и по уплате социальных взносов, если они осуществляют:</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w:t>
      </w:r>
      <w:r w:rsidRPr="00770599">
        <w:rPr>
          <w:rFonts w:ascii="Arial" w:hAnsi="Arial"/>
        </w:rPr>
        <w:tab/>
        <w:t xml:space="preserve">деятельность в области информационных технологий, </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w:t>
      </w:r>
      <w:r w:rsidRPr="00770599">
        <w:rPr>
          <w:rFonts w:ascii="Arial" w:hAnsi="Arial"/>
        </w:rPr>
        <w:tab/>
        <w:t xml:space="preserve">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w:t>
      </w:r>
      <w:r w:rsidRPr="00770599">
        <w:rPr>
          <w:rFonts w:ascii="Arial" w:hAnsi="Arial"/>
        </w:rPr>
        <w:tab/>
        <w:t xml:space="preserve">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w:t>
      </w:r>
      <w:r w:rsidRPr="00770599">
        <w:rPr>
          <w:rFonts w:ascii="Arial" w:hAnsi="Arial"/>
        </w:rPr>
        <w:tab/>
        <w:t>устанавливают, тестируют и сопровождают программы для ЭВМ, базы данных.</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lastRenderedPageBreak/>
        <w:t>Аналогичный перечень видов деятельности, предусмотренный первым абзацем п.1.15. ст.284 и подп.3 п.1 ст.427 НК РФ, также перечисляется в Административном регламенте</w:t>
      </w:r>
      <w:r w:rsidRPr="00770599">
        <w:rPr>
          <w:rStyle w:val="a5"/>
          <w:rFonts w:ascii="Arial" w:hAnsi="Arial"/>
        </w:rPr>
        <w:footnoteReference w:id="1"/>
      </w:r>
      <w:r w:rsidRPr="00770599">
        <w:rPr>
          <w:rFonts w:ascii="Arial" w:hAnsi="Arial"/>
        </w:rPr>
        <w:t xml:space="preserve"> предоставления Министерством связи и массовых коммуникаций Российской Федерации государственной услуги по государственной аккредитации организаций, осуществляющих деятельность в области информационных технологий, утвержденного Приказом Министерства связи и массовых коммуникаций Российской Федерации от 30.11.2011 № 298, которым установлен круг лиц, имеющих право претендовать на получение государственной аккредитации в качестве организации, осуществляющей деятельность в области информационных технологий:  </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российская организация, осуществляющая деятельность в области информационных технологий, независимо от организационно-правовой формы и формы собственности при условии, что данная организация осуществляет разработку и реализацию программ для ЭВМ и баз данных на материальном носителе или в электронном виде по каналам связи независимо от вида договора и (или) оказывает услуги (выполняет работы) по адаптации и модификации программ для ЭВМ и баз данных (программных средств и информационных продуктов вычислительной техники), установке, тестированию и сопровождению программ для ЭВМ и баз данных.</w:t>
      </w:r>
    </w:p>
    <w:p w:rsidR="00770599" w:rsidRPr="00770599" w:rsidRDefault="00770599" w:rsidP="00770599">
      <w:pPr>
        <w:pStyle w:val="ConsPlusNormal"/>
        <w:spacing w:after="160" w:line="264" w:lineRule="auto"/>
        <w:ind w:firstLine="709"/>
        <w:jc w:val="both"/>
        <w:rPr>
          <w:rFonts w:ascii="Arial" w:hAnsi="Arial"/>
        </w:rPr>
      </w:pPr>
      <w:r>
        <w:rPr>
          <w:rFonts w:ascii="Arial" w:hAnsi="Arial"/>
        </w:rPr>
        <w:t>О</w:t>
      </w:r>
      <w:r w:rsidRPr="00770599">
        <w:rPr>
          <w:rFonts w:ascii="Arial" w:hAnsi="Arial"/>
        </w:rPr>
        <w:t xml:space="preserve">рганизации, предоставляющие на профессиональной основе услуги по установке, тестированию и сопровождению программ для ЭВМ, баз данных, разработанных, адаптированных или модифицированных третьими лицами, также осуществляют деятельность в области информационных технологий. </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 xml:space="preserve">При системном толковании перечисленных положений законодательства положения </w:t>
      </w:r>
      <w:proofErr w:type="spellStart"/>
      <w:r w:rsidRPr="00770599">
        <w:rPr>
          <w:rFonts w:ascii="Arial" w:hAnsi="Arial"/>
        </w:rPr>
        <w:t>абз</w:t>
      </w:r>
      <w:proofErr w:type="spellEnd"/>
      <w:r w:rsidRPr="00770599">
        <w:rPr>
          <w:rFonts w:ascii="Arial" w:hAnsi="Arial"/>
        </w:rPr>
        <w:t xml:space="preserve">. 4 п. 1.15 ст. 284 НК РФ следует читать в следующем виде: </w:t>
      </w:r>
      <w:r w:rsidRPr="00770599">
        <w:rPr>
          <w:rFonts w:ascii="Arial" w:hAnsi="Arial"/>
          <w:i/>
        </w:rPr>
        <w:t xml:space="preserve">«доля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 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w:t>
      </w:r>
      <w:r w:rsidRPr="00770599">
        <w:rPr>
          <w:rFonts w:ascii="Arial" w:hAnsi="Arial"/>
          <w:b/>
          <w:i/>
        </w:rPr>
        <w:t>для ЭВМ, баз данных (программных средств и информационных продуктов вычислительной техники</w:t>
      </w:r>
      <w:r w:rsidRPr="00770599">
        <w:rPr>
          <w:rFonts w:ascii="Arial" w:hAnsi="Arial"/>
          <w:i/>
        </w:rPr>
        <w:t xml:space="preserve">), а также услуг (работ) по установке, тестированию и сопровождению </w:t>
      </w:r>
      <w:r w:rsidRPr="00770599">
        <w:rPr>
          <w:rFonts w:ascii="Arial" w:hAnsi="Arial"/>
          <w:b/>
          <w:i/>
        </w:rPr>
        <w:t>указанных программ для ЭВМ</w:t>
      </w:r>
      <w:r w:rsidRPr="00770599">
        <w:rPr>
          <w:rFonts w:ascii="Arial" w:hAnsi="Arial"/>
          <w:i/>
        </w:rPr>
        <w:t xml:space="preserve">, баз данных (за исключением доходов от предоставления прав использования программ для ЭВМ, баз данных…» </w:t>
      </w:r>
      <w:r w:rsidRPr="00770599">
        <w:rPr>
          <w:rFonts w:ascii="Arial" w:hAnsi="Arial"/>
        </w:rPr>
        <w:t xml:space="preserve">Таким образом, формулировка четвертого абзаца п.1.15 ст.284 НК РФ содержит отсылку на перечень программ для ЭВМ и баз данных, указанный в </w:t>
      </w:r>
      <w:proofErr w:type="spellStart"/>
      <w:r w:rsidRPr="00770599">
        <w:rPr>
          <w:rFonts w:ascii="Arial" w:hAnsi="Arial"/>
        </w:rPr>
        <w:t>абз</w:t>
      </w:r>
      <w:proofErr w:type="spellEnd"/>
      <w:r w:rsidRPr="00770599">
        <w:rPr>
          <w:rFonts w:ascii="Arial" w:hAnsi="Arial"/>
        </w:rPr>
        <w:t>. 1 п. 1.15 ст. 284 НК РФ, а именно «программных средств и информационных продуктов вычислительной техники».</w:t>
      </w:r>
    </w:p>
    <w:p w:rsidR="00770599" w:rsidRDefault="00770599" w:rsidP="00770599">
      <w:pPr>
        <w:pStyle w:val="ConsPlusNormal"/>
        <w:spacing w:after="160" w:line="264" w:lineRule="auto"/>
        <w:ind w:firstLine="709"/>
        <w:jc w:val="both"/>
        <w:rPr>
          <w:rFonts w:ascii="Arial" w:hAnsi="Arial"/>
        </w:rPr>
      </w:pPr>
      <w:r w:rsidRPr="00770599">
        <w:rPr>
          <w:rFonts w:ascii="Arial" w:hAnsi="Arial"/>
        </w:rPr>
        <w:t>Принимая во внимание указанные выше положения законодательства в их системной связи с подготовительными материалами, предшествующими принятию указанных законодательных норм (включая Пояснительную записку Правительства РФ и Пояснительную записку Федерального собрания), следует избегать толкования, при котором меры государственного стимулирования не будут применяться на практике в отношении деятельности по установке, тестированию и сопровождению программ для ЭВМ и баз данных, разработанных, адаптированных или модифицированных третьими лицами.</w:t>
      </w:r>
    </w:p>
    <w:p w:rsidR="00770599" w:rsidRPr="00770599" w:rsidRDefault="00770599" w:rsidP="00770599">
      <w:pPr>
        <w:pStyle w:val="ConsPlusNormal"/>
        <w:spacing w:after="160" w:line="264" w:lineRule="auto"/>
        <w:ind w:firstLine="709"/>
        <w:jc w:val="both"/>
        <w:rPr>
          <w:rFonts w:ascii="Arial" w:hAnsi="Arial"/>
        </w:rPr>
      </w:pPr>
    </w:p>
    <w:p w:rsidR="00770599" w:rsidRPr="00770599" w:rsidRDefault="00770599" w:rsidP="00770599">
      <w:pPr>
        <w:pStyle w:val="ConsPlusNormal"/>
        <w:spacing w:after="160" w:line="264" w:lineRule="auto"/>
        <w:ind w:firstLine="709"/>
        <w:jc w:val="both"/>
        <w:rPr>
          <w:rFonts w:ascii="Arial" w:hAnsi="Arial"/>
          <w:b/>
        </w:rPr>
      </w:pPr>
      <w:r>
        <w:rPr>
          <w:rFonts w:ascii="Arial" w:hAnsi="Arial"/>
          <w:b/>
        </w:rPr>
        <w:lastRenderedPageBreak/>
        <w:t>2</w:t>
      </w:r>
      <w:r w:rsidRPr="00770599">
        <w:rPr>
          <w:rFonts w:ascii="Arial" w:hAnsi="Arial"/>
          <w:b/>
        </w:rPr>
        <w:t>. Вопросы применения законодательства в отношении деятельности в области информационных технологий</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Первый абзац п.1.15 ст. 284 НК РФ содержит перечень видов деятельности, при осуществлении которых организации вправе претендовать на получение мер государственного стимулирования.</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Налоговые ставки применяются при одновременном выполнении следующих условий:</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 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отчетного (налогового) периода составляет не менее 90 процентов в сумме всех доходов организации за указанный период;</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среднесписочная численность работников организации за отчетный (налоговый) период составляет не менее семи человек.</w:t>
      </w:r>
    </w:p>
    <w:p w:rsidR="00770599" w:rsidRPr="00770599" w:rsidRDefault="00770599" w:rsidP="00770599">
      <w:pPr>
        <w:pStyle w:val="ConsPlusNormal"/>
        <w:spacing w:after="160" w:line="264" w:lineRule="auto"/>
        <w:ind w:firstLine="709"/>
        <w:jc w:val="both"/>
        <w:rPr>
          <w:rFonts w:ascii="Arial" w:hAnsi="Arial"/>
        </w:rPr>
      </w:pPr>
      <w:r w:rsidRPr="00770599">
        <w:rPr>
          <w:rFonts w:ascii="Arial" w:hAnsi="Arial"/>
        </w:rPr>
        <w:t>Упоминание «деятельность в области информационных технологий» в первом абзаце п. 1.15 статьи 284 и подп. 3 п. 1 статьи 427 НК РФ относится к обязательному условию о наличии документа о государственной аккредитации организации, осуществляющей деятельность в области информационных технологий.</w:t>
      </w:r>
    </w:p>
    <w:p w:rsidR="00770599" w:rsidRDefault="00770599" w:rsidP="00785EC9">
      <w:pPr>
        <w:pStyle w:val="ConsPlusNormal"/>
        <w:spacing w:after="160" w:line="264" w:lineRule="auto"/>
        <w:ind w:firstLine="709"/>
        <w:jc w:val="both"/>
        <w:rPr>
          <w:rFonts w:ascii="Arial" w:hAnsi="Arial"/>
        </w:rPr>
      </w:pPr>
      <w:r w:rsidRPr="00770599">
        <w:rPr>
          <w:rFonts w:ascii="Arial" w:hAnsi="Arial"/>
        </w:rPr>
        <w:t>Исходя из системного толкования п.1.15, 1.16 ст. 284, подп.3 п.1 ст. 427 НК РФ, подготовительных материалов федерального закона № т 31</w:t>
      </w:r>
      <w:r w:rsidR="00785EC9">
        <w:rPr>
          <w:rFonts w:ascii="Arial" w:hAnsi="Arial"/>
        </w:rPr>
        <w:t xml:space="preserve"> </w:t>
      </w:r>
      <w:r w:rsidRPr="00770599">
        <w:rPr>
          <w:rFonts w:ascii="Arial" w:hAnsi="Arial"/>
        </w:rPr>
        <w:t>от</w:t>
      </w:r>
      <w:r w:rsidR="00785EC9">
        <w:rPr>
          <w:rFonts w:ascii="Arial" w:hAnsi="Arial"/>
        </w:rPr>
        <w:t xml:space="preserve"> </w:t>
      </w:r>
      <w:r w:rsidRPr="00770599">
        <w:rPr>
          <w:rFonts w:ascii="Arial" w:hAnsi="Arial"/>
        </w:rPr>
        <w:t>31 июля 2020 г. № 265-ФЗ «О внесении изменений в часть вторую Налогового кодекса Российской Федерации», доход организации от деятельности в сфере информационных технологий, подпадающей под определение ОКВЭД 63, в том числе если эта деятельность имеет код ОКВЭД  63.1, 63.11, 63.11.1, 63.12, должен учитываться в составе доходов от ИТ деятельности</w:t>
      </w:r>
      <w:r w:rsidR="00785EC9">
        <w:rPr>
          <w:rFonts w:ascii="Arial" w:hAnsi="Arial"/>
        </w:rPr>
        <w:t>, наряду с кодами ОКВЭД 62.01., 62.02., 62.02.1, 62.02.4, 62.03.13., 62.09.,</w:t>
      </w:r>
      <w:r w:rsidRPr="00770599">
        <w:rPr>
          <w:rFonts w:ascii="Arial" w:hAnsi="Arial"/>
        </w:rPr>
        <w:t xml:space="preserve"> и позволять организации претендовать на получение </w:t>
      </w:r>
      <w:r w:rsidR="00785EC9">
        <w:rPr>
          <w:rFonts w:ascii="Arial" w:hAnsi="Arial"/>
        </w:rPr>
        <w:t>мер государственного стимулирования, предусмотренных Кодексом для ИТ организаций</w:t>
      </w:r>
      <w:bookmarkStart w:id="0" w:name="_GoBack"/>
      <w:bookmarkEnd w:id="0"/>
      <w:r w:rsidRPr="00770599">
        <w:rPr>
          <w:rFonts w:ascii="Arial" w:hAnsi="Arial"/>
        </w:rPr>
        <w:t>.</w:t>
      </w:r>
    </w:p>
    <w:p w:rsidR="00195F5A" w:rsidRDefault="00596B48"/>
    <w:sectPr w:rsidR="00195F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B48" w:rsidRDefault="00596B48" w:rsidP="00770599">
      <w:pPr>
        <w:spacing w:after="0" w:line="240" w:lineRule="auto"/>
      </w:pPr>
      <w:r>
        <w:separator/>
      </w:r>
    </w:p>
  </w:endnote>
  <w:endnote w:type="continuationSeparator" w:id="0">
    <w:p w:rsidR="00596B48" w:rsidRDefault="00596B48" w:rsidP="0077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B48" w:rsidRDefault="00596B48" w:rsidP="00770599">
      <w:pPr>
        <w:spacing w:after="0" w:line="240" w:lineRule="auto"/>
      </w:pPr>
      <w:r>
        <w:separator/>
      </w:r>
    </w:p>
  </w:footnote>
  <w:footnote w:type="continuationSeparator" w:id="0">
    <w:p w:rsidR="00596B48" w:rsidRDefault="00596B48" w:rsidP="00770599">
      <w:pPr>
        <w:spacing w:after="0" w:line="240" w:lineRule="auto"/>
      </w:pPr>
      <w:r>
        <w:continuationSeparator/>
      </w:r>
    </w:p>
  </w:footnote>
  <w:footnote w:id="1">
    <w:p w:rsidR="00770599" w:rsidRPr="002F50B1" w:rsidRDefault="00770599" w:rsidP="00770599">
      <w:pPr>
        <w:pStyle w:val="a3"/>
        <w:jc w:val="both"/>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7164C"/>
    <w:multiLevelType w:val="multilevel"/>
    <w:tmpl w:val="2300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99"/>
    <w:rsid w:val="003C3A05"/>
    <w:rsid w:val="00596B48"/>
    <w:rsid w:val="00770599"/>
    <w:rsid w:val="00785EC9"/>
    <w:rsid w:val="00AD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D686"/>
  <w15:chartTrackingRefBased/>
  <w15:docId w15:val="{0E69F5C2-22E9-4641-9A93-C6F9FA38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599"/>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770599"/>
    <w:pPr>
      <w:spacing w:after="0" w:line="240" w:lineRule="auto"/>
    </w:pPr>
    <w:rPr>
      <w:sz w:val="20"/>
      <w:szCs w:val="20"/>
    </w:rPr>
  </w:style>
  <w:style w:type="character" w:customStyle="1" w:styleId="a4">
    <w:name w:val="Текст сноски Знак"/>
    <w:basedOn w:val="a0"/>
    <w:link w:val="a3"/>
    <w:uiPriority w:val="99"/>
    <w:semiHidden/>
    <w:rsid w:val="00770599"/>
    <w:rPr>
      <w:sz w:val="20"/>
      <w:szCs w:val="20"/>
    </w:rPr>
  </w:style>
  <w:style w:type="character" w:styleId="a5">
    <w:name w:val="footnote reference"/>
    <w:basedOn w:val="a0"/>
    <w:uiPriority w:val="99"/>
    <w:semiHidden/>
    <w:unhideWhenUsed/>
    <w:rsid w:val="00770599"/>
    <w:rPr>
      <w:vertAlign w:val="superscript"/>
    </w:rPr>
  </w:style>
  <w:style w:type="paragraph" w:styleId="a6">
    <w:name w:val="Balloon Text"/>
    <w:basedOn w:val="a"/>
    <w:link w:val="a7"/>
    <w:uiPriority w:val="99"/>
    <w:semiHidden/>
    <w:unhideWhenUsed/>
    <w:rsid w:val="007705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0599"/>
    <w:rPr>
      <w:rFonts w:ascii="Segoe UI" w:hAnsi="Segoe UI" w:cs="Segoe UI"/>
      <w:sz w:val="18"/>
      <w:szCs w:val="18"/>
    </w:rPr>
  </w:style>
  <w:style w:type="character" w:styleId="a8">
    <w:name w:val="Strong"/>
    <w:basedOn w:val="a0"/>
    <w:uiPriority w:val="22"/>
    <w:qFormat/>
    <w:rsid w:val="0078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999">
      <w:bodyDiv w:val="1"/>
      <w:marLeft w:val="0"/>
      <w:marRight w:val="0"/>
      <w:marTop w:val="0"/>
      <w:marBottom w:val="0"/>
      <w:divBdr>
        <w:top w:val="none" w:sz="0" w:space="0" w:color="auto"/>
        <w:left w:val="none" w:sz="0" w:space="0" w:color="auto"/>
        <w:bottom w:val="none" w:sz="0" w:space="0" w:color="auto"/>
        <w:right w:val="none" w:sz="0" w:space="0" w:color="auto"/>
      </w:divBdr>
    </w:div>
    <w:div w:id="281226276">
      <w:bodyDiv w:val="1"/>
      <w:marLeft w:val="0"/>
      <w:marRight w:val="0"/>
      <w:marTop w:val="0"/>
      <w:marBottom w:val="0"/>
      <w:divBdr>
        <w:top w:val="none" w:sz="0" w:space="0" w:color="auto"/>
        <w:left w:val="none" w:sz="0" w:space="0" w:color="auto"/>
        <w:bottom w:val="none" w:sz="0" w:space="0" w:color="auto"/>
        <w:right w:val="none" w:sz="0" w:space="0" w:color="auto"/>
      </w:divBdr>
    </w:div>
    <w:div w:id="445462185">
      <w:bodyDiv w:val="1"/>
      <w:marLeft w:val="0"/>
      <w:marRight w:val="0"/>
      <w:marTop w:val="0"/>
      <w:marBottom w:val="0"/>
      <w:divBdr>
        <w:top w:val="none" w:sz="0" w:space="0" w:color="auto"/>
        <w:left w:val="none" w:sz="0" w:space="0" w:color="auto"/>
        <w:bottom w:val="none" w:sz="0" w:space="0" w:color="auto"/>
        <w:right w:val="none" w:sz="0" w:space="0" w:color="auto"/>
      </w:divBdr>
    </w:div>
    <w:div w:id="11570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Абдеева Ирина Сергеевна</dc:creator>
  <cp:keywords/>
  <dc:description/>
  <cp:lastModifiedBy>Абдеева Ирина Сергеевна</cp:lastModifiedBy>
  <cp:revision>1</cp:revision>
  <dcterms:created xsi:type="dcterms:W3CDTF">2021-08-17T15:59:00Z</dcterms:created>
  <dcterms:modified xsi:type="dcterms:W3CDTF">2021-08-17T16:19:00Z</dcterms:modified>
</cp:coreProperties>
</file>