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D2F4D" w14:textId="3CA2B4EF" w:rsidR="000F5599" w:rsidRPr="000F5599" w:rsidRDefault="000F5599" w:rsidP="000F5599">
      <w:pPr>
        <w:jc w:val="both"/>
        <w:rPr>
          <w:rFonts w:ascii="Arial" w:hAnsi="Arial" w:cs="Arial"/>
          <w:sz w:val="20"/>
          <w:szCs w:val="20"/>
          <w:lang w:val="en-US"/>
        </w:rPr>
      </w:pPr>
      <w:r>
        <w:rPr>
          <w:rFonts w:ascii="Arial" w:hAnsi="Arial" w:cs="Arial"/>
          <w:sz w:val="20"/>
          <w:szCs w:val="20"/>
        </w:rPr>
        <w:t>Письмо ответственного секретаря МРГ:</w:t>
      </w:r>
      <w:r>
        <w:rPr>
          <w:rFonts w:ascii="Arial" w:hAnsi="Arial" w:cs="Arial"/>
          <w:sz w:val="20"/>
          <w:szCs w:val="20"/>
          <w:lang w:val="en-US"/>
        </w:rPr>
        <w:t xml:space="preserve"> </w:t>
      </w:r>
    </w:p>
    <w:p w14:paraId="3EC78E5D" w14:textId="1B74F023" w:rsidR="000F5599" w:rsidRPr="000F5599" w:rsidRDefault="000F5599" w:rsidP="000F5599">
      <w:pPr>
        <w:jc w:val="both"/>
        <w:rPr>
          <w:rFonts w:ascii="Arial" w:hAnsi="Arial" w:cs="Arial"/>
          <w:sz w:val="20"/>
          <w:szCs w:val="20"/>
        </w:rPr>
      </w:pPr>
      <w:r w:rsidRPr="000F5599">
        <w:rPr>
          <w:rFonts w:ascii="Arial" w:hAnsi="Arial" w:cs="Arial"/>
          <w:sz w:val="20"/>
          <w:szCs w:val="20"/>
        </w:rPr>
        <w:t>В соответствии с прежней редакцией НК РФ право на уплату страховых взносов в пониженном размере имели следующие российские организации:</w:t>
      </w:r>
    </w:p>
    <w:p w14:paraId="08AD5EBB" w14:textId="77777777" w:rsidR="000F5599" w:rsidRPr="000F5599" w:rsidRDefault="000F5599" w:rsidP="000F5599">
      <w:pPr>
        <w:numPr>
          <w:ilvl w:val="0"/>
          <w:numId w:val="4"/>
        </w:numPr>
        <w:jc w:val="both"/>
        <w:rPr>
          <w:rFonts w:ascii="Arial" w:hAnsi="Arial" w:cs="Arial"/>
          <w:sz w:val="20"/>
          <w:szCs w:val="20"/>
        </w:rPr>
      </w:pPr>
      <w:r w:rsidRPr="000F5599">
        <w:rPr>
          <w:rFonts w:ascii="Arial" w:hAnsi="Arial" w:cs="Arial"/>
          <w:sz w:val="20"/>
          <w:szCs w:val="20"/>
        </w:rPr>
        <w:t xml:space="preserve">организации, которые осуществляют деятельность в области информационных технологий, </w:t>
      </w:r>
    </w:p>
    <w:p w14:paraId="7E17D058" w14:textId="77777777" w:rsidR="000F5599" w:rsidRPr="000F5599" w:rsidRDefault="000F5599" w:rsidP="000F5599">
      <w:pPr>
        <w:numPr>
          <w:ilvl w:val="0"/>
          <w:numId w:val="4"/>
        </w:numPr>
        <w:jc w:val="both"/>
        <w:rPr>
          <w:rFonts w:ascii="Arial" w:hAnsi="Arial" w:cs="Arial"/>
          <w:sz w:val="20"/>
          <w:szCs w:val="20"/>
        </w:rPr>
      </w:pPr>
      <w:r w:rsidRPr="000F5599">
        <w:rPr>
          <w:rFonts w:ascii="Arial" w:hAnsi="Arial" w:cs="Arial"/>
          <w:sz w:val="20"/>
          <w:szCs w:val="20"/>
        </w:rPr>
        <w:t>организации, которые разрабатывают и реализуют разработанные ими программы для ЭВМ, базы данных на материальном носителе или в форме электронного документа по каналам связи независимо от вида договора,</w:t>
      </w:r>
    </w:p>
    <w:p w14:paraId="72A0CACF" w14:textId="77777777" w:rsidR="000F5599" w:rsidRPr="000F5599" w:rsidRDefault="000F5599" w:rsidP="000F5599">
      <w:pPr>
        <w:numPr>
          <w:ilvl w:val="0"/>
          <w:numId w:val="4"/>
        </w:numPr>
        <w:jc w:val="both"/>
        <w:rPr>
          <w:rFonts w:ascii="Arial" w:hAnsi="Arial" w:cs="Arial"/>
          <w:sz w:val="20"/>
          <w:szCs w:val="20"/>
        </w:rPr>
      </w:pPr>
      <w:r w:rsidRPr="000F5599">
        <w:rPr>
          <w:rFonts w:ascii="Arial" w:hAnsi="Arial" w:cs="Arial"/>
          <w:sz w:val="20"/>
          <w:szCs w:val="20"/>
        </w:rPr>
        <w:t xml:space="preserve">организации, которые оказывают услуги (выполняют работы) по разработке, адаптации, модификации программ для ЭВМ, баз данных (программных средств и информационных продуктов вычислительной техники), </w:t>
      </w:r>
    </w:p>
    <w:p w14:paraId="1D91575F" w14:textId="77777777" w:rsidR="000F5599" w:rsidRPr="000F5599" w:rsidRDefault="000F5599" w:rsidP="000F5599">
      <w:pPr>
        <w:numPr>
          <w:ilvl w:val="0"/>
          <w:numId w:val="4"/>
        </w:numPr>
        <w:jc w:val="both"/>
        <w:rPr>
          <w:rFonts w:ascii="Arial" w:hAnsi="Arial" w:cs="Arial"/>
          <w:sz w:val="20"/>
          <w:szCs w:val="20"/>
        </w:rPr>
      </w:pPr>
      <w:r w:rsidRPr="000F5599">
        <w:rPr>
          <w:rFonts w:ascii="Arial" w:hAnsi="Arial" w:cs="Arial"/>
          <w:sz w:val="20"/>
          <w:szCs w:val="20"/>
        </w:rPr>
        <w:t>организации, которые устанавливают, тестируют и сопровождают программы для ЭВМ, базы данных,</w:t>
      </w:r>
    </w:p>
    <w:p w14:paraId="6BD187D7" w14:textId="77777777" w:rsidR="000F5599" w:rsidRPr="000F5599" w:rsidRDefault="000F5599" w:rsidP="000F5599">
      <w:pPr>
        <w:jc w:val="both"/>
        <w:rPr>
          <w:rFonts w:ascii="Arial" w:hAnsi="Arial" w:cs="Arial"/>
          <w:sz w:val="20"/>
          <w:szCs w:val="20"/>
        </w:rPr>
      </w:pPr>
      <w:r w:rsidRPr="000F5599">
        <w:rPr>
          <w:rFonts w:ascii="Arial" w:hAnsi="Arial" w:cs="Arial"/>
          <w:sz w:val="20"/>
          <w:szCs w:val="20"/>
        </w:rPr>
        <w:t>если соответствующие организации могли подтвердить, что доля доходов организации от нижеуказанных видов деятельности составляет не менее 90% в сумме всех доходов организации за отчетный период:</w:t>
      </w:r>
    </w:p>
    <w:p w14:paraId="60552303" w14:textId="77777777" w:rsidR="000F5599" w:rsidRPr="000F5599" w:rsidRDefault="000F5599" w:rsidP="000F5599">
      <w:pPr>
        <w:numPr>
          <w:ilvl w:val="0"/>
          <w:numId w:val="5"/>
        </w:numPr>
        <w:jc w:val="both"/>
        <w:rPr>
          <w:rFonts w:ascii="Arial" w:hAnsi="Arial" w:cs="Arial"/>
          <w:sz w:val="20"/>
          <w:szCs w:val="20"/>
        </w:rPr>
      </w:pPr>
      <w:r w:rsidRPr="000F5599">
        <w:rPr>
          <w:rFonts w:ascii="Arial" w:hAnsi="Arial" w:cs="Arial"/>
          <w:sz w:val="20"/>
          <w:szCs w:val="20"/>
        </w:rPr>
        <w:t>реализация экземпляров программ для ЭВМ, баз данных (</w:t>
      </w:r>
      <w:r w:rsidRPr="000F5599">
        <w:rPr>
          <w:rFonts w:ascii="Arial" w:hAnsi="Arial" w:cs="Arial"/>
          <w:i/>
          <w:iCs/>
          <w:sz w:val="20"/>
          <w:szCs w:val="20"/>
        </w:rPr>
        <w:t>без указания на то, что такие программы должны были быть разработаны налогоплательщиком</w:t>
      </w:r>
      <w:r w:rsidRPr="000F5599">
        <w:rPr>
          <w:rFonts w:ascii="Arial" w:hAnsi="Arial" w:cs="Arial"/>
          <w:sz w:val="20"/>
          <w:szCs w:val="20"/>
        </w:rPr>
        <w:t xml:space="preserve">), </w:t>
      </w:r>
    </w:p>
    <w:p w14:paraId="3D2D171C" w14:textId="77777777" w:rsidR="000F5599" w:rsidRPr="000F5599" w:rsidRDefault="000F5599" w:rsidP="000F5599">
      <w:pPr>
        <w:numPr>
          <w:ilvl w:val="0"/>
          <w:numId w:val="5"/>
        </w:numPr>
        <w:jc w:val="both"/>
        <w:rPr>
          <w:rFonts w:ascii="Arial" w:hAnsi="Arial" w:cs="Arial"/>
          <w:sz w:val="20"/>
          <w:szCs w:val="20"/>
        </w:rPr>
      </w:pPr>
      <w:r w:rsidRPr="000F5599">
        <w:rPr>
          <w:rFonts w:ascii="Arial" w:hAnsi="Arial" w:cs="Arial"/>
          <w:sz w:val="20"/>
          <w:szCs w:val="20"/>
        </w:rPr>
        <w:t xml:space="preserve">передача исключительных прав на программы для ЭВМ, базы данных, </w:t>
      </w:r>
    </w:p>
    <w:p w14:paraId="05DC7207" w14:textId="77777777" w:rsidR="000F5599" w:rsidRPr="000F5599" w:rsidRDefault="000F5599" w:rsidP="000F5599">
      <w:pPr>
        <w:numPr>
          <w:ilvl w:val="0"/>
          <w:numId w:val="5"/>
        </w:numPr>
        <w:jc w:val="both"/>
        <w:rPr>
          <w:rFonts w:ascii="Arial" w:hAnsi="Arial" w:cs="Arial"/>
          <w:sz w:val="20"/>
          <w:szCs w:val="20"/>
        </w:rPr>
      </w:pPr>
      <w:r w:rsidRPr="000F5599">
        <w:rPr>
          <w:rFonts w:ascii="Arial" w:hAnsi="Arial" w:cs="Arial"/>
          <w:sz w:val="20"/>
          <w:szCs w:val="20"/>
        </w:rPr>
        <w:t xml:space="preserve">предоставление прав использования программ для ЭВМ, баз данных по лицензионным договорам, </w:t>
      </w:r>
    </w:p>
    <w:p w14:paraId="750F3CBF" w14:textId="77777777" w:rsidR="000F5599" w:rsidRPr="000F5599" w:rsidRDefault="000F5599" w:rsidP="000F5599">
      <w:pPr>
        <w:numPr>
          <w:ilvl w:val="0"/>
          <w:numId w:val="5"/>
        </w:numPr>
        <w:jc w:val="both"/>
        <w:rPr>
          <w:rFonts w:ascii="Arial" w:hAnsi="Arial" w:cs="Arial"/>
          <w:sz w:val="20"/>
          <w:szCs w:val="20"/>
        </w:rPr>
      </w:pPr>
      <w:r w:rsidRPr="000F5599">
        <w:rPr>
          <w:rFonts w:ascii="Arial" w:hAnsi="Arial" w:cs="Arial"/>
          <w:sz w:val="20"/>
          <w:szCs w:val="20"/>
        </w:rPr>
        <w:t>оказание услуг (выполнения работ) по разработке, адаптации и модификации программ для ЭВМ, баз данных (программных средств и информационных продуктов вычислительной техники),</w:t>
      </w:r>
    </w:p>
    <w:p w14:paraId="649A7328" w14:textId="77777777" w:rsidR="000F5599" w:rsidRPr="000F5599" w:rsidRDefault="000F5599" w:rsidP="000F5599">
      <w:pPr>
        <w:numPr>
          <w:ilvl w:val="0"/>
          <w:numId w:val="5"/>
        </w:numPr>
        <w:jc w:val="both"/>
        <w:rPr>
          <w:rFonts w:ascii="Arial" w:hAnsi="Arial" w:cs="Arial"/>
          <w:sz w:val="20"/>
          <w:szCs w:val="20"/>
        </w:rPr>
      </w:pPr>
      <w:r w:rsidRPr="000F5599">
        <w:rPr>
          <w:rFonts w:ascii="Arial" w:hAnsi="Arial" w:cs="Arial"/>
          <w:sz w:val="20"/>
          <w:szCs w:val="20"/>
        </w:rPr>
        <w:t>оказание услуг (работ) по установке, тестированию и сопровождению указанных программ для ЭВМ.</w:t>
      </w:r>
    </w:p>
    <w:p w14:paraId="1440A478" w14:textId="77777777" w:rsidR="000F5599" w:rsidRPr="000F5599" w:rsidRDefault="000F5599" w:rsidP="000F5599">
      <w:pPr>
        <w:jc w:val="both"/>
        <w:rPr>
          <w:rFonts w:ascii="Arial" w:hAnsi="Arial" w:cs="Arial"/>
          <w:sz w:val="20"/>
          <w:szCs w:val="20"/>
        </w:rPr>
      </w:pPr>
      <w:r w:rsidRPr="000F5599">
        <w:rPr>
          <w:rFonts w:ascii="Arial" w:hAnsi="Arial" w:cs="Arial"/>
          <w:sz w:val="20"/>
          <w:szCs w:val="20"/>
        </w:rPr>
        <w:t xml:space="preserve">Учитывая вышеизложенное, так, например, организация, являющаяся официальным дистрибьютором, а не правообладателем ПО, и осуществляющая деятельность по «установке, тестированию и сопровождению» такого ПО, могла претендовать на получение страховых льгот, поскольку в составе 90% порога дохода учитывался в том числе доход от </w:t>
      </w:r>
      <w:proofErr w:type="spellStart"/>
      <w:r w:rsidRPr="000F5599">
        <w:rPr>
          <w:rFonts w:ascii="Arial" w:hAnsi="Arial" w:cs="Arial"/>
          <w:sz w:val="20"/>
          <w:szCs w:val="20"/>
        </w:rPr>
        <w:t>сублицензирования</w:t>
      </w:r>
      <w:proofErr w:type="spellEnd"/>
      <w:r w:rsidRPr="000F5599">
        <w:rPr>
          <w:rFonts w:ascii="Arial" w:hAnsi="Arial" w:cs="Arial"/>
          <w:sz w:val="20"/>
          <w:szCs w:val="20"/>
        </w:rPr>
        <w:t xml:space="preserve"> указанного ПО.</w:t>
      </w:r>
    </w:p>
    <w:p w14:paraId="0EF24865" w14:textId="77777777" w:rsidR="000F5599" w:rsidRPr="000F5599" w:rsidRDefault="000F5599" w:rsidP="000F5599">
      <w:pPr>
        <w:jc w:val="both"/>
        <w:rPr>
          <w:rFonts w:ascii="Arial" w:hAnsi="Arial" w:cs="Arial"/>
          <w:sz w:val="20"/>
          <w:szCs w:val="20"/>
        </w:rPr>
      </w:pPr>
      <w:r w:rsidRPr="000F5599">
        <w:rPr>
          <w:rFonts w:ascii="Arial" w:hAnsi="Arial" w:cs="Arial"/>
          <w:sz w:val="20"/>
          <w:szCs w:val="20"/>
        </w:rPr>
        <w:t xml:space="preserve">В текущей редакции НК РФ, организация, осуществляющая установку и сопровождение ПО (в том числе, сложных иностранных программных продуктов), </w:t>
      </w:r>
      <w:proofErr w:type="gramStart"/>
      <w:r w:rsidRPr="000F5599">
        <w:rPr>
          <w:rFonts w:ascii="Arial" w:hAnsi="Arial" w:cs="Arial"/>
          <w:sz w:val="20"/>
          <w:szCs w:val="20"/>
        </w:rPr>
        <w:t>но  имеющая</w:t>
      </w:r>
      <w:proofErr w:type="gramEnd"/>
      <w:r w:rsidRPr="000F5599">
        <w:rPr>
          <w:rFonts w:ascii="Arial" w:hAnsi="Arial" w:cs="Arial"/>
          <w:sz w:val="20"/>
          <w:szCs w:val="20"/>
        </w:rPr>
        <w:t xml:space="preserve"> в структуре доходов основной доход </w:t>
      </w:r>
    </w:p>
    <w:p w14:paraId="7FCFF206" w14:textId="77777777" w:rsidR="000F5599" w:rsidRPr="000F5599" w:rsidRDefault="000F5599" w:rsidP="000F5599">
      <w:pPr>
        <w:jc w:val="both"/>
        <w:rPr>
          <w:rFonts w:ascii="Arial" w:hAnsi="Arial" w:cs="Arial"/>
          <w:sz w:val="20"/>
          <w:szCs w:val="20"/>
        </w:rPr>
      </w:pPr>
      <w:r w:rsidRPr="000F5599">
        <w:rPr>
          <w:rFonts w:ascii="Arial" w:hAnsi="Arial" w:cs="Arial"/>
          <w:sz w:val="20"/>
          <w:szCs w:val="20"/>
        </w:rPr>
        <w:t xml:space="preserve">- либо от </w:t>
      </w:r>
      <w:proofErr w:type="spellStart"/>
      <w:r w:rsidRPr="000F5599">
        <w:rPr>
          <w:rFonts w:ascii="Arial" w:hAnsi="Arial" w:cs="Arial"/>
          <w:sz w:val="20"/>
          <w:szCs w:val="20"/>
        </w:rPr>
        <w:t>сублицензирования</w:t>
      </w:r>
      <w:proofErr w:type="spellEnd"/>
      <w:r w:rsidRPr="000F5599">
        <w:rPr>
          <w:rFonts w:ascii="Arial" w:hAnsi="Arial" w:cs="Arial"/>
          <w:sz w:val="20"/>
          <w:szCs w:val="20"/>
        </w:rPr>
        <w:t xml:space="preserve"> чужого ПО, </w:t>
      </w:r>
    </w:p>
    <w:p w14:paraId="6784DE3E" w14:textId="77777777" w:rsidR="000F5599" w:rsidRPr="000F5599" w:rsidRDefault="000F5599" w:rsidP="000F5599">
      <w:pPr>
        <w:jc w:val="both"/>
        <w:rPr>
          <w:rFonts w:ascii="Arial" w:hAnsi="Arial" w:cs="Arial"/>
          <w:sz w:val="20"/>
          <w:szCs w:val="20"/>
        </w:rPr>
      </w:pPr>
      <w:r w:rsidRPr="000F5599">
        <w:rPr>
          <w:rFonts w:ascii="Arial" w:hAnsi="Arial" w:cs="Arial"/>
          <w:sz w:val="20"/>
          <w:szCs w:val="20"/>
        </w:rPr>
        <w:t>- л</w:t>
      </w:r>
      <w:bookmarkStart w:id="0" w:name="_GoBack"/>
      <w:bookmarkEnd w:id="0"/>
      <w:r w:rsidRPr="000F5599">
        <w:rPr>
          <w:rFonts w:ascii="Arial" w:hAnsi="Arial" w:cs="Arial"/>
          <w:sz w:val="20"/>
          <w:szCs w:val="20"/>
        </w:rPr>
        <w:t>ибо от оказания услуг по установке и сопровождению ПО, разработчиком которого она не является,</w:t>
      </w:r>
    </w:p>
    <w:p w14:paraId="6F4ED958" w14:textId="77777777" w:rsidR="000F5599" w:rsidRPr="000F5599" w:rsidRDefault="000F5599" w:rsidP="000F5599">
      <w:pPr>
        <w:jc w:val="both"/>
        <w:rPr>
          <w:rFonts w:ascii="Arial" w:hAnsi="Arial" w:cs="Arial"/>
          <w:sz w:val="20"/>
          <w:szCs w:val="20"/>
        </w:rPr>
      </w:pPr>
      <w:r w:rsidRPr="000F5599">
        <w:rPr>
          <w:rFonts w:ascii="Arial" w:hAnsi="Arial" w:cs="Arial"/>
          <w:sz w:val="20"/>
          <w:szCs w:val="20"/>
        </w:rPr>
        <w:t xml:space="preserve">не получает никаких налоговых </w:t>
      </w:r>
      <w:proofErr w:type="gramStart"/>
      <w:r w:rsidRPr="000F5599">
        <w:rPr>
          <w:rFonts w:ascii="Arial" w:hAnsi="Arial" w:cs="Arial"/>
          <w:sz w:val="20"/>
          <w:szCs w:val="20"/>
        </w:rPr>
        <w:t>преференций, несмотря на то, что</w:t>
      </w:r>
      <w:proofErr w:type="gramEnd"/>
      <w:r w:rsidRPr="000F5599">
        <w:rPr>
          <w:rFonts w:ascii="Arial" w:hAnsi="Arial" w:cs="Arial"/>
          <w:sz w:val="20"/>
          <w:szCs w:val="20"/>
        </w:rPr>
        <w:t xml:space="preserve"> установка и сопровождение такого ПО может требовать значительных интеллектуальных ресурсов. </w:t>
      </w:r>
    </w:p>
    <w:p w14:paraId="3EF50998" w14:textId="77777777" w:rsidR="000F5599" w:rsidRPr="000F5599" w:rsidRDefault="000F5599" w:rsidP="000F5599">
      <w:pPr>
        <w:jc w:val="both"/>
        <w:rPr>
          <w:rFonts w:ascii="Arial" w:hAnsi="Arial" w:cs="Arial"/>
          <w:sz w:val="20"/>
          <w:szCs w:val="20"/>
        </w:rPr>
      </w:pPr>
      <w:r w:rsidRPr="000F5599">
        <w:rPr>
          <w:rFonts w:ascii="Arial" w:hAnsi="Arial" w:cs="Arial"/>
          <w:sz w:val="20"/>
          <w:szCs w:val="20"/>
        </w:rPr>
        <w:t>Так как концепция налогового маневра заключалась в том, чтобы не усугубить, а улучшить положение российских ИТ компаний, а также поддержать отечественные разработки, мы считаем необходимым устранить появившийся дисбаланс, а также инициировать восстановление в правах ИТ компаний, которые ранее применяли налоговые льготы, а после ИТ-маневра более не смогли их применять.</w:t>
      </w:r>
    </w:p>
    <w:p w14:paraId="597DD32D" w14:textId="77777777" w:rsidR="000F5599" w:rsidRPr="000F5599" w:rsidRDefault="000F5599" w:rsidP="000F5599">
      <w:pPr>
        <w:jc w:val="both"/>
        <w:rPr>
          <w:rFonts w:ascii="Arial" w:hAnsi="Arial" w:cs="Arial"/>
          <w:sz w:val="20"/>
          <w:szCs w:val="20"/>
        </w:rPr>
      </w:pPr>
      <w:r w:rsidRPr="000F5599">
        <w:rPr>
          <w:rFonts w:ascii="Arial" w:hAnsi="Arial" w:cs="Arial"/>
          <w:sz w:val="20"/>
          <w:szCs w:val="20"/>
        </w:rPr>
        <w:lastRenderedPageBreak/>
        <w:t xml:space="preserve">К настоящему письму прилагаю анализ НК в предыдущей и текущей редакции, а также проект совместного письма с Минфином об устранении соответствующего пробела. Также прошу Вас направить участникам Вашей ассоциации на рассмотрение данные документы и для подтверждения выпуска соответствующих совместных с Минфином разъяснений получить от них информацию о конкретных случаях, когда ИТ компания имела право на льготу и применяла ее до ИТ-маневра, а сейчас  не может ее реализовать. </w:t>
      </w:r>
    </w:p>
    <w:p w14:paraId="00B67876" w14:textId="77777777" w:rsidR="000F5599" w:rsidRDefault="000F5599" w:rsidP="00E17E3E">
      <w:pPr>
        <w:jc w:val="both"/>
        <w:rPr>
          <w:rFonts w:ascii="Arial" w:hAnsi="Arial" w:cs="Arial"/>
          <w:sz w:val="20"/>
          <w:szCs w:val="20"/>
        </w:rPr>
      </w:pPr>
    </w:p>
    <w:p w14:paraId="1F5D9492" w14:textId="0E0AD15D" w:rsidR="00E17E3E" w:rsidRPr="000F5599" w:rsidRDefault="000F5599" w:rsidP="000F5599">
      <w:pPr>
        <w:jc w:val="center"/>
        <w:rPr>
          <w:rFonts w:ascii="Arial" w:hAnsi="Arial" w:cs="Arial"/>
          <w:b/>
        </w:rPr>
      </w:pPr>
      <w:r w:rsidRPr="000F5599">
        <w:rPr>
          <w:rFonts w:ascii="Arial" w:hAnsi="Arial" w:cs="Arial"/>
          <w:b/>
        </w:rPr>
        <w:t xml:space="preserve">Анализ </w:t>
      </w:r>
      <w:r w:rsidR="00E17E3E" w:rsidRPr="000F5599">
        <w:rPr>
          <w:rFonts w:ascii="Arial" w:hAnsi="Arial" w:cs="Arial"/>
          <w:b/>
        </w:rPr>
        <w:t>текущ</w:t>
      </w:r>
      <w:r>
        <w:rPr>
          <w:rFonts w:ascii="Arial" w:hAnsi="Arial" w:cs="Arial"/>
          <w:b/>
        </w:rPr>
        <w:t>ей</w:t>
      </w:r>
      <w:r w:rsidR="00E17E3E" w:rsidRPr="000F5599">
        <w:rPr>
          <w:rFonts w:ascii="Arial" w:hAnsi="Arial" w:cs="Arial"/>
          <w:b/>
        </w:rPr>
        <w:t xml:space="preserve"> </w:t>
      </w:r>
      <w:r w:rsidRPr="000F5599">
        <w:rPr>
          <w:rFonts w:ascii="Arial" w:hAnsi="Arial" w:cs="Arial"/>
          <w:b/>
        </w:rPr>
        <w:t xml:space="preserve">и предыдущей редакций </w:t>
      </w:r>
      <w:r w:rsidR="00E17E3E" w:rsidRPr="000F5599">
        <w:rPr>
          <w:rFonts w:ascii="Arial" w:hAnsi="Arial" w:cs="Arial"/>
          <w:b/>
        </w:rPr>
        <w:t xml:space="preserve">НК РФ на предмет оценки льгот, которые получали </w:t>
      </w:r>
      <w:r w:rsidRPr="000F5599">
        <w:rPr>
          <w:rFonts w:ascii="Arial" w:hAnsi="Arial" w:cs="Arial"/>
          <w:b/>
        </w:rPr>
        <w:t>ИТ-</w:t>
      </w:r>
      <w:r w:rsidR="00E17E3E" w:rsidRPr="000F5599">
        <w:rPr>
          <w:rFonts w:ascii="Arial" w:hAnsi="Arial" w:cs="Arial"/>
          <w:b/>
        </w:rPr>
        <w:t>компании ранее и сейчас.</w:t>
      </w:r>
    </w:p>
    <w:tbl>
      <w:tblPr>
        <w:tblStyle w:val="a3"/>
        <w:tblW w:w="14879" w:type="dxa"/>
        <w:tblLook w:val="04A0" w:firstRow="1" w:lastRow="0" w:firstColumn="1" w:lastColumn="0" w:noHBand="0" w:noVBand="1"/>
      </w:tblPr>
      <w:tblGrid>
        <w:gridCol w:w="985"/>
        <w:gridCol w:w="5673"/>
        <w:gridCol w:w="8221"/>
      </w:tblGrid>
      <w:tr w:rsidR="00E17E3E" w:rsidRPr="00E17E3E" w14:paraId="069B2420" w14:textId="77777777" w:rsidTr="00AB7843">
        <w:tc>
          <w:tcPr>
            <w:tcW w:w="985" w:type="dxa"/>
            <w:vAlign w:val="center"/>
          </w:tcPr>
          <w:p w14:paraId="3ADE77B4" w14:textId="77777777" w:rsidR="00E17E3E" w:rsidRPr="00B23DD5" w:rsidRDefault="00E17E3E" w:rsidP="00AB7843">
            <w:pPr>
              <w:jc w:val="center"/>
              <w:rPr>
                <w:rFonts w:ascii="Arial" w:hAnsi="Arial" w:cs="Arial"/>
                <w:b/>
                <w:bCs/>
                <w:sz w:val="20"/>
                <w:szCs w:val="20"/>
              </w:rPr>
            </w:pPr>
            <w:r w:rsidRPr="00B23DD5">
              <w:rPr>
                <w:rFonts w:ascii="Arial" w:hAnsi="Arial" w:cs="Arial"/>
                <w:b/>
                <w:bCs/>
                <w:sz w:val="20"/>
                <w:szCs w:val="20"/>
              </w:rPr>
              <w:t>Пункт НК РФ</w:t>
            </w:r>
          </w:p>
        </w:tc>
        <w:tc>
          <w:tcPr>
            <w:tcW w:w="5673" w:type="dxa"/>
            <w:vAlign w:val="center"/>
          </w:tcPr>
          <w:p w14:paraId="03A30FA8" w14:textId="77777777" w:rsidR="00E17E3E" w:rsidRPr="00B23DD5" w:rsidRDefault="00E17E3E" w:rsidP="00AB7843">
            <w:pPr>
              <w:jc w:val="center"/>
              <w:rPr>
                <w:rFonts w:ascii="Arial" w:hAnsi="Arial" w:cs="Arial"/>
                <w:b/>
                <w:bCs/>
                <w:sz w:val="20"/>
                <w:szCs w:val="20"/>
              </w:rPr>
            </w:pPr>
            <w:r w:rsidRPr="00B23DD5">
              <w:rPr>
                <w:rFonts w:ascii="Arial" w:hAnsi="Arial" w:cs="Arial"/>
                <w:b/>
                <w:bCs/>
                <w:sz w:val="20"/>
                <w:szCs w:val="20"/>
              </w:rPr>
              <w:t>Редакция Налогового кодекса № 261 от 27.12.2019г.</w:t>
            </w:r>
          </w:p>
        </w:tc>
        <w:tc>
          <w:tcPr>
            <w:tcW w:w="8221" w:type="dxa"/>
            <w:vAlign w:val="center"/>
          </w:tcPr>
          <w:p w14:paraId="219C5CA7" w14:textId="4823EBD7" w:rsidR="00E17E3E" w:rsidRPr="00B23DD5" w:rsidRDefault="00E17E3E" w:rsidP="00AB7843">
            <w:pPr>
              <w:jc w:val="center"/>
              <w:rPr>
                <w:rFonts w:ascii="Arial" w:hAnsi="Arial" w:cs="Arial"/>
                <w:b/>
                <w:bCs/>
                <w:sz w:val="20"/>
                <w:szCs w:val="20"/>
              </w:rPr>
            </w:pPr>
            <w:r w:rsidRPr="00B23DD5">
              <w:rPr>
                <w:rFonts w:ascii="Arial" w:hAnsi="Arial" w:cs="Arial"/>
                <w:b/>
                <w:bCs/>
                <w:sz w:val="20"/>
                <w:szCs w:val="20"/>
              </w:rPr>
              <w:t>Редакция Налогового кодекса № 288 от 02.07.2021</w:t>
            </w:r>
            <w:r w:rsidR="00AB7843">
              <w:rPr>
                <w:rFonts w:ascii="Arial" w:hAnsi="Arial" w:cs="Arial"/>
                <w:b/>
                <w:bCs/>
                <w:sz w:val="20"/>
                <w:szCs w:val="20"/>
              </w:rPr>
              <w:t xml:space="preserve"> </w:t>
            </w:r>
            <w:r w:rsidRPr="00B23DD5">
              <w:rPr>
                <w:rFonts w:ascii="Arial" w:hAnsi="Arial" w:cs="Arial"/>
                <w:b/>
                <w:bCs/>
                <w:sz w:val="20"/>
                <w:szCs w:val="20"/>
              </w:rPr>
              <w:t xml:space="preserve">г., утвержденная </w:t>
            </w:r>
            <w:r w:rsidRPr="00B23DD5">
              <w:rPr>
                <w:b/>
                <w:bCs/>
              </w:rPr>
              <w:t xml:space="preserve">Федеральным законом от 31.07.2020 </w:t>
            </w:r>
            <w:r w:rsidR="00AB7843">
              <w:rPr>
                <w:b/>
                <w:bCs/>
              </w:rPr>
              <w:t>№</w:t>
            </w:r>
            <w:r w:rsidRPr="00B23DD5">
              <w:rPr>
                <w:b/>
                <w:bCs/>
              </w:rPr>
              <w:t xml:space="preserve"> 265-ФЗ </w:t>
            </w:r>
            <w:r w:rsidR="00AB7843">
              <w:rPr>
                <w:b/>
                <w:bCs/>
              </w:rPr>
              <w:t>«</w:t>
            </w:r>
            <w:r w:rsidRPr="00B23DD5">
              <w:rPr>
                <w:b/>
                <w:bCs/>
              </w:rPr>
              <w:t>О внесении изменений в часть вторую Налогового кодекса Российской Федерации</w:t>
            </w:r>
            <w:r w:rsidR="00AB7843">
              <w:rPr>
                <w:b/>
                <w:bCs/>
              </w:rPr>
              <w:t>»</w:t>
            </w:r>
          </w:p>
        </w:tc>
      </w:tr>
      <w:tr w:rsidR="00E17E3E" w:rsidRPr="00E17E3E" w14:paraId="32009931" w14:textId="77777777" w:rsidTr="009B104B">
        <w:tc>
          <w:tcPr>
            <w:tcW w:w="985" w:type="dxa"/>
          </w:tcPr>
          <w:p w14:paraId="08C58E9C" w14:textId="77777777" w:rsidR="00E17E3E" w:rsidRPr="00E17E3E" w:rsidRDefault="00E17E3E" w:rsidP="009B104B">
            <w:pPr>
              <w:rPr>
                <w:rFonts w:ascii="Arial" w:hAnsi="Arial" w:cs="Arial"/>
                <w:sz w:val="20"/>
                <w:szCs w:val="20"/>
              </w:rPr>
            </w:pPr>
            <w:r w:rsidRPr="00E17E3E">
              <w:rPr>
                <w:rFonts w:ascii="Arial" w:hAnsi="Arial" w:cs="Arial"/>
                <w:sz w:val="20"/>
                <w:szCs w:val="20"/>
              </w:rPr>
              <w:t>пп.3) п.1 ст. 427</w:t>
            </w:r>
          </w:p>
        </w:tc>
        <w:tc>
          <w:tcPr>
            <w:tcW w:w="5673" w:type="dxa"/>
          </w:tcPr>
          <w:p w14:paraId="1DFCA5E1" w14:textId="77777777" w:rsidR="00E17E3E" w:rsidRPr="00E17E3E" w:rsidRDefault="00E17E3E" w:rsidP="009B104B">
            <w:pPr>
              <w:ind w:firstLine="540"/>
              <w:jc w:val="both"/>
              <w:rPr>
                <w:rFonts w:ascii="Arial" w:eastAsia="Times New Roman" w:hAnsi="Arial" w:cs="Arial"/>
                <w:sz w:val="20"/>
                <w:szCs w:val="20"/>
                <w:lang w:eastAsia="ru-RU"/>
              </w:rPr>
            </w:pPr>
            <w:r w:rsidRPr="00E17E3E">
              <w:rPr>
                <w:rFonts w:ascii="Arial" w:eastAsia="Times New Roman" w:hAnsi="Arial" w:cs="Arial"/>
                <w:sz w:val="20"/>
                <w:szCs w:val="20"/>
                <w:lang w:eastAsia="ru-RU"/>
              </w:rPr>
              <w:t>для российских организаций, которые осуществляют деятельность в области информационных технологий, разрабатывают и реализуют разработанные ими программы для ЭВМ, базы данных на материальном носителе или в форме электронного документа по каналам связи независимо от вида договора и (или) оказывают услуги (выполняют работы) по разработке, адаптации, модификации программ для ЭВМ, баз данных (программных средств и информационных продуктов вычислительной техники), устанавливают, тестируют и сопровождают программы для ЭВМ, баз данных;</w:t>
            </w:r>
          </w:p>
          <w:p w14:paraId="00746CDA" w14:textId="77777777" w:rsidR="00E17E3E" w:rsidRPr="00E17E3E" w:rsidRDefault="00E17E3E" w:rsidP="009B104B">
            <w:pPr>
              <w:rPr>
                <w:rFonts w:ascii="Arial" w:hAnsi="Arial" w:cs="Arial"/>
                <w:sz w:val="20"/>
                <w:szCs w:val="20"/>
              </w:rPr>
            </w:pPr>
          </w:p>
        </w:tc>
        <w:tc>
          <w:tcPr>
            <w:tcW w:w="8221" w:type="dxa"/>
          </w:tcPr>
          <w:p w14:paraId="0D809EF2" w14:textId="77777777" w:rsidR="00E17E3E" w:rsidRPr="00E17E3E" w:rsidRDefault="00E17E3E" w:rsidP="009B104B">
            <w:pPr>
              <w:ind w:firstLine="540"/>
              <w:jc w:val="both"/>
              <w:rPr>
                <w:rFonts w:ascii="Arial" w:hAnsi="Arial" w:cs="Arial"/>
                <w:sz w:val="20"/>
                <w:szCs w:val="20"/>
              </w:rPr>
            </w:pPr>
            <w:r w:rsidRPr="00E17E3E">
              <w:rPr>
                <w:rFonts w:ascii="Arial" w:hAnsi="Arial" w:cs="Arial"/>
                <w:sz w:val="20"/>
                <w:szCs w:val="20"/>
              </w:rPr>
              <w:t xml:space="preserve">для российских организаций, которые осуществляют деятельность в области информационных технологий, разрабатывают и реализуют разработанные ими программы для ЭВМ, базы данных на материальном носителе или в форме электронного документа по каналам связи независимо от вида договора и (или) оказывают услуги (выполняют работы) по разработке, </w:t>
            </w:r>
            <w:hyperlink r:id="rId5" w:history="1">
              <w:r w:rsidRPr="00E17E3E">
                <w:rPr>
                  <w:rStyle w:val="a4"/>
                  <w:rFonts w:ascii="Arial" w:hAnsi="Arial" w:cs="Arial"/>
                  <w:color w:val="auto"/>
                  <w:sz w:val="20"/>
                  <w:szCs w:val="20"/>
                  <w:u w:val="none"/>
                </w:rPr>
                <w:t>адаптации</w:t>
              </w:r>
            </w:hyperlink>
            <w:r w:rsidRPr="00E17E3E">
              <w:rPr>
                <w:rFonts w:ascii="Arial" w:hAnsi="Arial" w:cs="Arial"/>
                <w:sz w:val="20"/>
                <w:szCs w:val="20"/>
              </w:rPr>
              <w:t xml:space="preserve">, модификации программ для ЭВМ, баз данных (программных средств и информационных продуктов вычислительной техники), устанавливают, тестируют и сопровождают программы для ЭВМ, </w:t>
            </w:r>
            <w:r w:rsidRPr="00AB7843">
              <w:rPr>
                <w:rFonts w:ascii="Arial" w:hAnsi="Arial" w:cs="Arial"/>
                <w:b/>
                <w:bCs/>
                <w:sz w:val="20"/>
                <w:szCs w:val="20"/>
              </w:rPr>
              <w:t>базы</w:t>
            </w:r>
            <w:r w:rsidRPr="00E17E3E">
              <w:rPr>
                <w:rFonts w:ascii="Arial" w:hAnsi="Arial" w:cs="Arial"/>
                <w:sz w:val="20"/>
                <w:szCs w:val="20"/>
              </w:rPr>
              <w:t xml:space="preserve"> данных</w:t>
            </w:r>
          </w:p>
          <w:p w14:paraId="1A5E62CA" w14:textId="77777777" w:rsidR="00E17E3E" w:rsidRPr="00E17E3E" w:rsidRDefault="00E17E3E" w:rsidP="009B104B">
            <w:pPr>
              <w:rPr>
                <w:rFonts w:ascii="Arial" w:hAnsi="Arial" w:cs="Arial"/>
                <w:sz w:val="20"/>
                <w:szCs w:val="20"/>
              </w:rPr>
            </w:pPr>
          </w:p>
        </w:tc>
      </w:tr>
      <w:tr w:rsidR="00E17E3E" w:rsidRPr="00E17E3E" w14:paraId="0036448E" w14:textId="77777777" w:rsidTr="009B104B">
        <w:tc>
          <w:tcPr>
            <w:tcW w:w="985" w:type="dxa"/>
          </w:tcPr>
          <w:p w14:paraId="5C01B8AA" w14:textId="77777777" w:rsidR="00E17E3E" w:rsidRPr="00E17E3E" w:rsidRDefault="00E17E3E" w:rsidP="009B104B">
            <w:pPr>
              <w:rPr>
                <w:rFonts w:ascii="Arial" w:hAnsi="Arial" w:cs="Arial"/>
                <w:sz w:val="20"/>
                <w:szCs w:val="20"/>
              </w:rPr>
            </w:pPr>
            <w:proofErr w:type="spellStart"/>
            <w:r w:rsidRPr="00E17E3E">
              <w:rPr>
                <w:rFonts w:ascii="Arial" w:hAnsi="Arial" w:cs="Arial"/>
                <w:sz w:val="20"/>
                <w:szCs w:val="20"/>
              </w:rPr>
              <w:t>Абз</w:t>
            </w:r>
            <w:proofErr w:type="spellEnd"/>
            <w:r w:rsidRPr="00E17E3E">
              <w:rPr>
                <w:rFonts w:ascii="Arial" w:hAnsi="Arial" w:cs="Arial"/>
                <w:sz w:val="20"/>
                <w:szCs w:val="20"/>
              </w:rPr>
              <w:t>. 4 п.5 ст.427</w:t>
            </w:r>
          </w:p>
        </w:tc>
        <w:tc>
          <w:tcPr>
            <w:tcW w:w="5673" w:type="dxa"/>
          </w:tcPr>
          <w:p w14:paraId="49163B5E" w14:textId="77777777" w:rsidR="00E17E3E" w:rsidRPr="00E17E3E" w:rsidRDefault="00E17E3E" w:rsidP="009B104B">
            <w:pPr>
              <w:ind w:firstLine="540"/>
              <w:jc w:val="both"/>
              <w:rPr>
                <w:rFonts w:ascii="Arial" w:eastAsia="Times New Roman" w:hAnsi="Arial" w:cs="Arial"/>
                <w:sz w:val="20"/>
                <w:szCs w:val="20"/>
                <w:lang w:eastAsia="ru-RU"/>
              </w:rPr>
            </w:pPr>
            <w:r w:rsidRPr="00E17E3E">
              <w:rPr>
                <w:rFonts w:ascii="Arial" w:eastAsia="Times New Roman" w:hAnsi="Arial" w:cs="Arial"/>
                <w:sz w:val="20"/>
                <w:szCs w:val="20"/>
                <w:lang w:eastAsia="ru-RU"/>
              </w:rPr>
              <w:t xml:space="preserve">доля доходов от </w:t>
            </w:r>
            <w:r w:rsidRPr="00AB7843">
              <w:rPr>
                <w:rFonts w:ascii="Arial" w:eastAsia="Times New Roman" w:hAnsi="Arial" w:cs="Arial"/>
                <w:bCs/>
                <w:sz w:val="20"/>
                <w:szCs w:val="20"/>
                <w:lang w:eastAsia="ru-RU"/>
              </w:rPr>
              <w:t>реализации экземпляров программ для ЭВМ, баз данных, передачи исключительных прав на программы для ЭВМ, базы данных, предоставления прав использования программ для ЭВМ, баз данных по лицензионным договорам,</w:t>
            </w:r>
            <w:r w:rsidRPr="00E17E3E">
              <w:rPr>
                <w:rFonts w:ascii="Arial" w:eastAsia="Times New Roman" w:hAnsi="Arial" w:cs="Arial"/>
                <w:sz w:val="20"/>
                <w:szCs w:val="20"/>
                <w:lang w:eastAsia="ru-RU"/>
              </w:rPr>
              <w:t xml:space="preserve"> от оказания услуг (выполнения работ) по разработке, адаптации и модификации программ для ЭВМ, баз данных (программных средств и информационных продуктов вычислительной техники), а также услуг (работ) по установке, тестированию и сопровождению указанных программ для ЭВМ, баз данных по итогам отчетного (расчетного) периода составляет не менее 90 процентов в сумме всех доходов организации за указанный период;</w:t>
            </w:r>
          </w:p>
          <w:p w14:paraId="74F072FE" w14:textId="77777777" w:rsidR="00E17E3E" w:rsidRPr="00E17E3E" w:rsidRDefault="00E17E3E" w:rsidP="009B104B">
            <w:pPr>
              <w:rPr>
                <w:rFonts w:ascii="Arial" w:hAnsi="Arial" w:cs="Arial"/>
                <w:sz w:val="20"/>
                <w:szCs w:val="20"/>
              </w:rPr>
            </w:pPr>
          </w:p>
        </w:tc>
        <w:tc>
          <w:tcPr>
            <w:tcW w:w="8221" w:type="dxa"/>
          </w:tcPr>
          <w:p w14:paraId="47785F0D" w14:textId="77777777" w:rsidR="00E17E3E" w:rsidRPr="00E17E3E" w:rsidRDefault="00E17E3E" w:rsidP="009B104B">
            <w:pPr>
              <w:ind w:firstLine="540"/>
              <w:jc w:val="both"/>
              <w:rPr>
                <w:rFonts w:ascii="Arial" w:eastAsia="Times New Roman" w:hAnsi="Arial" w:cs="Arial"/>
                <w:sz w:val="20"/>
                <w:szCs w:val="20"/>
                <w:lang w:eastAsia="ru-RU"/>
              </w:rPr>
            </w:pPr>
            <w:r w:rsidRPr="00E17E3E">
              <w:rPr>
                <w:rFonts w:ascii="Arial" w:eastAsia="Times New Roman" w:hAnsi="Arial" w:cs="Arial"/>
                <w:sz w:val="20"/>
                <w:szCs w:val="20"/>
                <w:lang w:eastAsia="ru-RU"/>
              </w:rPr>
              <w:t xml:space="preserve">доля доходов от </w:t>
            </w:r>
            <w:r w:rsidRPr="00AB7843">
              <w:rPr>
                <w:rFonts w:ascii="Arial" w:eastAsia="Times New Roman" w:hAnsi="Arial" w:cs="Arial"/>
                <w:bCs/>
                <w:sz w:val="20"/>
                <w:szCs w:val="20"/>
                <w:lang w:eastAsia="ru-RU"/>
              </w:rPr>
              <w:t xml:space="preserve">реализации экземпляров </w:t>
            </w:r>
            <w:r w:rsidRPr="00AB7843">
              <w:rPr>
                <w:rFonts w:ascii="Arial" w:eastAsia="Times New Roman" w:hAnsi="Arial" w:cs="Arial"/>
                <w:b/>
                <w:sz w:val="20"/>
                <w:szCs w:val="20"/>
                <w:lang w:eastAsia="ru-RU"/>
              </w:rPr>
              <w:t>разработанных организацией</w:t>
            </w:r>
            <w:r w:rsidRPr="00AB7843">
              <w:rPr>
                <w:rFonts w:ascii="Arial" w:eastAsia="Times New Roman" w:hAnsi="Arial" w:cs="Arial"/>
                <w:bCs/>
                <w:sz w:val="20"/>
                <w:szCs w:val="20"/>
                <w:lang w:eastAsia="ru-RU"/>
              </w:rPr>
              <w:t xml:space="preserve"> программ для ЭВМ, баз данных, передачи исключительных прав на </w:t>
            </w:r>
            <w:r w:rsidRPr="00AB7843">
              <w:rPr>
                <w:rFonts w:ascii="Arial" w:eastAsia="Times New Roman" w:hAnsi="Arial" w:cs="Arial"/>
                <w:b/>
                <w:sz w:val="20"/>
                <w:szCs w:val="20"/>
                <w:lang w:eastAsia="ru-RU"/>
              </w:rPr>
              <w:t>разработанные ею</w:t>
            </w:r>
            <w:r w:rsidRPr="00AB7843">
              <w:rPr>
                <w:rFonts w:ascii="Arial" w:eastAsia="Times New Roman" w:hAnsi="Arial" w:cs="Arial"/>
                <w:bCs/>
                <w:sz w:val="20"/>
                <w:szCs w:val="20"/>
                <w:lang w:eastAsia="ru-RU"/>
              </w:rPr>
              <w:t xml:space="preserve"> программы для ЭВМ, базы данных, предоставления прав использования </w:t>
            </w:r>
            <w:r w:rsidRPr="00AB7843">
              <w:rPr>
                <w:rFonts w:ascii="Arial" w:eastAsia="Times New Roman" w:hAnsi="Arial" w:cs="Arial"/>
                <w:b/>
                <w:sz w:val="20"/>
                <w:szCs w:val="20"/>
                <w:lang w:eastAsia="ru-RU"/>
              </w:rPr>
              <w:t>указанных</w:t>
            </w:r>
            <w:r w:rsidRPr="00AB7843">
              <w:rPr>
                <w:rFonts w:ascii="Arial" w:eastAsia="Times New Roman" w:hAnsi="Arial" w:cs="Arial"/>
                <w:bCs/>
                <w:sz w:val="20"/>
                <w:szCs w:val="20"/>
                <w:lang w:eastAsia="ru-RU"/>
              </w:rPr>
              <w:t xml:space="preserve"> программ для ЭВМ, баз данных по лицензионным договорам, </w:t>
            </w:r>
            <w:r w:rsidRPr="00AB7843">
              <w:rPr>
                <w:rFonts w:ascii="Arial" w:eastAsia="Times New Roman" w:hAnsi="Arial" w:cs="Arial"/>
                <w:b/>
                <w:sz w:val="20"/>
                <w:szCs w:val="20"/>
                <w:lang w:eastAsia="ru-RU"/>
              </w:rPr>
              <w:t>в том числе путем предоставления удаленного доступа к программам для ЭВМ и базам данных, указанным в настоящем абзаце, включая обновления к ним и дополнительные функциональные возможности, через информационно-телекоммуникационную сеть "Интернет"</w:t>
            </w:r>
            <w:r w:rsidRPr="00E17E3E">
              <w:rPr>
                <w:rFonts w:ascii="Arial" w:eastAsia="Times New Roman" w:hAnsi="Arial" w:cs="Arial"/>
                <w:sz w:val="20"/>
                <w:szCs w:val="20"/>
                <w:lang w:eastAsia="ru-RU"/>
              </w:rPr>
              <w:t xml:space="preserve">, от оказания услуг (выполнения работ) по разработке, </w:t>
            </w:r>
            <w:hyperlink r:id="rId6" w:history="1">
              <w:r w:rsidRPr="00E17E3E">
                <w:rPr>
                  <w:rFonts w:ascii="Arial" w:eastAsia="Times New Roman" w:hAnsi="Arial" w:cs="Arial"/>
                  <w:sz w:val="20"/>
                  <w:szCs w:val="20"/>
                  <w:lang w:eastAsia="ru-RU"/>
                </w:rPr>
                <w:t>адаптации</w:t>
              </w:r>
            </w:hyperlink>
            <w:r w:rsidRPr="00E17E3E">
              <w:rPr>
                <w:rFonts w:ascii="Arial" w:eastAsia="Times New Roman" w:hAnsi="Arial" w:cs="Arial"/>
                <w:sz w:val="20"/>
                <w:szCs w:val="20"/>
                <w:lang w:eastAsia="ru-RU"/>
              </w:rPr>
              <w:t xml:space="preserve"> и модификации программ для ЭВМ, баз данных (программных средств и информационных продуктов вычислительной техники), а также услуг (работ) по установке, тестированию и сопровождению указанных программ для ЭВМ, баз данных </w:t>
            </w:r>
            <w:r w:rsidRPr="00AB7843">
              <w:rPr>
                <w:rFonts w:ascii="Arial" w:eastAsia="Times New Roman" w:hAnsi="Arial" w:cs="Arial"/>
                <w:b/>
                <w:bCs/>
                <w:sz w:val="20"/>
                <w:szCs w:val="20"/>
                <w:lang w:eastAsia="ru-RU"/>
              </w:rPr>
              <w:t xml:space="preserve">(за исключением доходов от предоставления прав использования программ для ЭВМ, баз данных (в том числе путем предоставления удаленного доступа к ним через информационно-телекоммуникационную сеть "Интернет"), если такие права состоят в получении возможности распространять рекламную информацию в информационно-телекоммуникационной сети "Интернет" и (или) получать доступ к такой информации, размещать предложения о приобретении (реализации) товаров (работ, услуг), имущественных прав в </w:t>
            </w:r>
            <w:r w:rsidRPr="00AB7843">
              <w:rPr>
                <w:rFonts w:ascii="Arial" w:eastAsia="Times New Roman" w:hAnsi="Arial" w:cs="Arial"/>
                <w:b/>
                <w:bCs/>
                <w:sz w:val="20"/>
                <w:szCs w:val="20"/>
                <w:lang w:eastAsia="ru-RU"/>
              </w:rPr>
              <w:lastRenderedPageBreak/>
              <w:t>информационно-телекоммуникационной сети "Интернет", осуществлять поиск информации о потенциальных покупателях (продавцах) и (или) заключать сделки)</w:t>
            </w:r>
            <w:r w:rsidRPr="00E17E3E">
              <w:rPr>
                <w:rFonts w:ascii="Arial" w:eastAsia="Times New Roman" w:hAnsi="Arial" w:cs="Arial"/>
                <w:sz w:val="20"/>
                <w:szCs w:val="20"/>
                <w:lang w:eastAsia="ru-RU"/>
              </w:rPr>
              <w:t xml:space="preserve"> по итогам отчетного (расчетного) периода составляет не менее 90 процентов в сумме всех доходов организации за указанный период;</w:t>
            </w:r>
          </w:p>
          <w:p w14:paraId="6FE35B66" w14:textId="77777777" w:rsidR="00E17E3E" w:rsidRPr="00E17E3E" w:rsidRDefault="00E17E3E" w:rsidP="009B104B">
            <w:pPr>
              <w:rPr>
                <w:rFonts w:ascii="Arial" w:hAnsi="Arial" w:cs="Arial"/>
                <w:sz w:val="20"/>
                <w:szCs w:val="20"/>
              </w:rPr>
            </w:pPr>
          </w:p>
        </w:tc>
      </w:tr>
      <w:tr w:rsidR="00E17E3E" w:rsidRPr="00E17E3E" w14:paraId="7D5E16A0" w14:textId="77777777" w:rsidTr="009B104B">
        <w:tc>
          <w:tcPr>
            <w:tcW w:w="985" w:type="dxa"/>
          </w:tcPr>
          <w:p w14:paraId="3CF0AFA9" w14:textId="77777777" w:rsidR="00E17E3E" w:rsidRPr="00E17E3E" w:rsidRDefault="00E17E3E" w:rsidP="009B104B">
            <w:pPr>
              <w:rPr>
                <w:rFonts w:ascii="Arial" w:hAnsi="Arial" w:cs="Arial"/>
                <w:sz w:val="20"/>
                <w:szCs w:val="20"/>
              </w:rPr>
            </w:pPr>
            <w:r w:rsidRPr="00E17E3E">
              <w:rPr>
                <w:rFonts w:ascii="Arial" w:hAnsi="Arial" w:cs="Arial"/>
                <w:sz w:val="20"/>
                <w:szCs w:val="20"/>
              </w:rPr>
              <w:lastRenderedPageBreak/>
              <w:t>П.1.15 п.1 ст.284 НК</w:t>
            </w:r>
          </w:p>
        </w:tc>
        <w:tc>
          <w:tcPr>
            <w:tcW w:w="5673" w:type="dxa"/>
          </w:tcPr>
          <w:p w14:paraId="788FC973" w14:textId="77777777" w:rsidR="00E17E3E" w:rsidRPr="00E17E3E" w:rsidRDefault="00E17E3E" w:rsidP="009B104B">
            <w:pPr>
              <w:rPr>
                <w:rFonts w:ascii="Arial" w:hAnsi="Arial" w:cs="Arial"/>
                <w:sz w:val="20"/>
                <w:szCs w:val="20"/>
              </w:rPr>
            </w:pPr>
            <w:r w:rsidRPr="00E17E3E">
              <w:rPr>
                <w:rFonts w:ascii="Arial" w:hAnsi="Arial" w:cs="Arial"/>
                <w:sz w:val="20"/>
                <w:szCs w:val="20"/>
              </w:rPr>
              <w:t xml:space="preserve">Отсутствует </w:t>
            </w:r>
          </w:p>
        </w:tc>
        <w:tc>
          <w:tcPr>
            <w:tcW w:w="8221" w:type="dxa"/>
          </w:tcPr>
          <w:p w14:paraId="3F302DF3" w14:textId="77777777" w:rsidR="00E17E3E" w:rsidRPr="00AB7843" w:rsidRDefault="00E17E3E" w:rsidP="009B104B">
            <w:pPr>
              <w:ind w:firstLine="540"/>
              <w:jc w:val="both"/>
              <w:rPr>
                <w:rFonts w:ascii="Arial" w:hAnsi="Arial" w:cs="Arial"/>
                <w:b/>
                <w:bCs/>
                <w:sz w:val="20"/>
                <w:szCs w:val="20"/>
              </w:rPr>
            </w:pPr>
            <w:r w:rsidRPr="00AB7843">
              <w:rPr>
                <w:rFonts w:ascii="Arial" w:hAnsi="Arial" w:cs="Arial"/>
                <w:b/>
                <w:bCs/>
                <w:sz w:val="20"/>
                <w:szCs w:val="20"/>
              </w:rPr>
              <w:t xml:space="preserve">1.15. Для российских организаций, которые осуществляют деятельность в области информационных технологий, разрабатывают и реализуют разработанные ими программы для ЭВМ, базы данных на материальном носителе или в форме электронного документа по каналам связи независимо от вида договора и (или) оказывают услуги (выполняют работы) по разработке, </w:t>
            </w:r>
            <w:hyperlink r:id="rId7" w:history="1">
              <w:r w:rsidRPr="00AB7843">
                <w:rPr>
                  <w:rStyle w:val="a4"/>
                  <w:rFonts w:ascii="Arial" w:hAnsi="Arial" w:cs="Arial"/>
                  <w:b/>
                  <w:bCs/>
                  <w:color w:val="auto"/>
                  <w:sz w:val="20"/>
                  <w:szCs w:val="20"/>
                  <w:u w:val="none"/>
                </w:rPr>
                <w:t>адаптации</w:t>
              </w:r>
            </w:hyperlink>
            <w:r w:rsidRPr="00AB7843">
              <w:rPr>
                <w:rFonts w:ascii="Arial" w:hAnsi="Arial" w:cs="Arial"/>
                <w:b/>
                <w:bCs/>
                <w:sz w:val="20"/>
                <w:szCs w:val="20"/>
              </w:rPr>
              <w:t>, модификации программ для ЭВМ, баз данных (программных средств и информационных продуктов вычислительной техники), устанавливают, тестируют и сопровождают программы для ЭВМ, базы данных, налоговая ставка по налогу, подлежащему зачислению в федеральный бюджет, устанавливается в размере 3 процентов, а налоговая ставка по налогу, подлежащему зачислению в бюджет субъекта Российской Федерации, в размере 0 процентов.</w:t>
            </w:r>
          </w:p>
          <w:p w14:paraId="365F8FC8" w14:textId="77777777" w:rsidR="00E17E3E" w:rsidRPr="00AB7843" w:rsidRDefault="00E17E3E" w:rsidP="009B104B">
            <w:pPr>
              <w:ind w:firstLine="540"/>
              <w:jc w:val="both"/>
              <w:rPr>
                <w:rFonts w:ascii="Arial" w:hAnsi="Arial" w:cs="Arial"/>
                <w:b/>
                <w:bCs/>
                <w:sz w:val="20"/>
                <w:szCs w:val="20"/>
              </w:rPr>
            </w:pPr>
            <w:r w:rsidRPr="00AB7843">
              <w:rPr>
                <w:rFonts w:ascii="Arial" w:hAnsi="Arial" w:cs="Arial"/>
                <w:b/>
                <w:bCs/>
                <w:sz w:val="20"/>
                <w:szCs w:val="20"/>
              </w:rPr>
              <w:t>Указанные в настоящем пункте налоговые ставки применяются при одновременном выполнении следующих условий:</w:t>
            </w:r>
          </w:p>
          <w:p w14:paraId="0B1BB098" w14:textId="77777777" w:rsidR="00E17E3E" w:rsidRPr="00AB7843" w:rsidRDefault="00E17E3E" w:rsidP="009B104B">
            <w:pPr>
              <w:ind w:firstLine="540"/>
              <w:jc w:val="both"/>
              <w:rPr>
                <w:rFonts w:ascii="Arial" w:hAnsi="Arial" w:cs="Arial"/>
                <w:b/>
                <w:bCs/>
                <w:sz w:val="20"/>
                <w:szCs w:val="20"/>
              </w:rPr>
            </w:pPr>
            <w:r w:rsidRPr="00AB7843">
              <w:rPr>
                <w:rFonts w:ascii="Arial" w:hAnsi="Arial" w:cs="Arial"/>
                <w:b/>
                <w:bCs/>
                <w:sz w:val="20"/>
                <w:szCs w:val="20"/>
              </w:rPr>
              <w:t>организацией получен документ о государственной аккредитации организации, осуществляющей деятельность в области информационных технологий, в порядке, установленном Правительством Российской Федерации;</w:t>
            </w:r>
          </w:p>
          <w:p w14:paraId="40526EE4" w14:textId="77777777" w:rsidR="00E17E3E" w:rsidRPr="00AB7843" w:rsidRDefault="00E17E3E" w:rsidP="009B104B">
            <w:pPr>
              <w:ind w:firstLine="540"/>
              <w:jc w:val="both"/>
              <w:rPr>
                <w:rFonts w:ascii="Arial" w:hAnsi="Arial" w:cs="Arial"/>
                <w:b/>
                <w:bCs/>
                <w:sz w:val="20"/>
                <w:szCs w:val="20"/>
              </w:rPr>
            </w:pPr>
            <w:bookmarkStart w:id="1" w:name="p11089"/>
            <w:bookmarkEnd w:id="1"/>
            <w:r w:rsidRPr="00AB7843">
              <w:rPr>
                <w:rFonts w:ascii="Arial" w:hAnsi="Arial" w:cs="Arial"/>
                <w:b/>
                <w:bCs/>
                <w:sz w:val="20"/>
                <w:szCs w:val="20"/>
              </w:rPr>
              <w:t>доля доходов от реализации экземпляров разработанных организацией программ для ЭВМ, баз данных, передачи исключительных прав на разработанные ею программы для ЭВМ, базы данных, предоставления прав использования указанных программ для ЭВМ, баз данных по лицензионным договорам, в том числе путем предоставления удаленного доступа к программам для ЭВМ и базам данных, указанным в настоящем абзаце, включая обновления к ним и дополнительные функциональные возможности, через информационно-телекоммуникационную сеть "Интернет", от оказания услуг (выполнения работ) по разработке, адаптации и модификации программ для ЭВМ, баз данных (программных средств и информационных продуктов вычислительной техники), а также услуг (работ) по установке, тестированию и сопровождению указанных программ для ЭВМ, баз данных (за исключением доходов от предоставления прав использования программ для ЭВМ, баз данных (в том числе путем предоставления удаленного доступа к ним через информационно-телекоммуникационную сеть "Интернет"), если такие права состоят в получении возможности распространять рекламную информацию в информационно-телекоммуникационной сети "Интернет" и (или) получать доступ к такой информации, размещать предложения о приобретении (реализации) товаров (работ, услуг), имущественных прав в информационно-</w:t>
            </w:r>
            <w:r w:rsidRPr="00AB7843">
              <w:rPr>
                <w:rFonts w:ascii="Arial" w:hAnsi="Arial" w:cs="Arial"/>
                <w:b/>
                <w:bCs/>
                <w:sz w:val="20"/>
                <w:szCs w:val="20"/>
              </w:rPr>
              <w:lastRenderedPageBreak/>
              <w:t>телекоммуникационной сети "Интернет", осуществлять поиск информации о потенциальных покупателях (продавцах) и (или) заключать сделки) по итогам отчетного (налогового) периода составляет не менее 90 процентов в сумме всех доходов организации за указанный период;</w:t>
            </w:r>
          </w:p>
          <w:bookmarkStart w:id="2" w:name="p11090"/>
          <w:bookmarkEnd w:id="2"/>
          <w:p w14:paraId="3574F918" w14:textId="77777777" w:rsidR="00E17E3E" w:rsidRPr="00AB7843" w:rsidRDefault="00E17E3E" w:rsidP="009B104B">
            <w:pPr>
              <w:ind w:firstLine="540"/>
              <w:jc w:val="both"/>
              <w:rPr>
                <w:rFonts w:ascii="Arial" w:hAnsi="Arial" w:cs="Arial"/>
                <w:b/>
                <w:bCs/>
                <w:sz w:val="20"/>
                <w:szCs w:val="20"/>
              </w:rPr>
            </w:pPr>
            <w:r w:rsidRPr="00AB7843">
              <w:rPr>
                <w:rFonts w:ascii="Arial" w:hAnsi="Arial" w:cs="Arial"/>
                <w:b/>
                <w:bCs/>
                <w:sz w:val="20"/>
                <w:szCs w:val="20"/>
              </w:rPr>
              <w:fldChar w:fldCharType="begin"/>
            </w:r>
            <w:r w:rsidRPr="00AB7843">
              <w:rPr>
                <w:rFonts w:ascii="Arial" w:hAnsi="Arial" w:cs="Arial"/>
                <w:b/>
                <w:bCs/>
                <w:sz w:val="20"/>
                <w:szCs w:val="20"/>
              </w:rPr>
              <w:instrText xml:space="preserve"> HYPERLINK "https://login.consultant.ru/link/?rnd=0EBDB3960EA059C0B6226EA6B163E751&amp;req=doc&amp;base=LAW&amp;n=390896&amp;dst=100711&amp;fld=134&amp;REFFIELD=134&amp;REFDST=18898&amp;REFDOC=389333&amp;REFBASE=LAW&amp;stat=refcode%3D16610%3Bdstident%3D100711%3Bindex%3D11090&amp;date=16.08.2021" </w:instrText>
            </w:r>
            <w:r w:rsidRPr="00AB7843">
              <w:rPr>
                <w:rFonts w:ascii="Arial" w:hAnsi="Arial" w:cs="Arial"/>
                <w:b/>
                <w:bCs/>
                <w:sz w:val="20"/>
                <w:szCs w:val="20"/>
              </w:rPr>
              <w:fldChar w:fldCharType="separate"/>
            </w:r>
            <w:r w:rsidRPr="00AB7843">
              <w:rPr>
                <w:rStyle w:val="a4"/>
                <w:rFonts w:ascii="Arial" w:hAnsi="Arial" w:cs="Arial"/>
                <w:b/>
                <w:bCs/>
                <w:color w:val="auto"/>
                <w:sz w:val="20"/>
                <w:szCs w:val="20"/>
                <w:u w:val="none"/>
              </w:rPr>
              <w:t>среднесписочная численность</w:t>
            </w:r>
            <w:r w:rsidRPr="00AB7843">
              <w:rPr>
                <w:rFonts w:ascii="Arial" w:hAnsi="Arial" w:cs="Arial"/>
                <w:b/>
                <w:bCs/>
                <w:sz w:val="20"/>
                <w:szCs w:val="20"/>
              </w:rPr>
              <w:fldChar w:fldCharType="end"/>
            </w:r>
            <w:r w:rsidRPr="00AB7843">
              <w:rPr>
                <w:rFonts w:ascii="Arial" w:hAnsi="Arial" w:cs="Arial"/>
                <w:b/>
                <w:bCs/>
                <w:sz w:val="20"/>
                <w:szCs w:val="20"/>
              </w:rPr>
              <w:t xml:space="preserve"> работников организации за отчетный (налоговый) период составляет не менее семи человек.</w:t>
            </w:r>
          </w:p>
          <w:p w14:paraId="6384E682" w14:textId="77777777" w:rsidR="00E17E3E" w:rsidRPr="00AB7843" w:rsidRDefault="00E17E3E" w:rsidP="009B104B">
            <w:pPr>
              <w:ind w:firstLine="540"/>
              <w:jc w:val="both"/>
              <w:rPr>
                <w:rFonts w:ascii="Arial" w:hAnsi="Arial" w:cs="Arial"/>
                <w:b/>
                <w:bCs/>
                <w:sz w:val="20"/>
                <w:szCs w:val="20"/>
              </w:rPr>
            </w:pPr>
            <w:r w:rsidRPr="00AB7843">
              <w:rPr>
                <w:rFonts w:ascii="Arial" w:hAnsi="Arial" w:cs="Arial"/>
                <w:b/>
                <w:bCs/>
                <w:sz w:val="20"/>
                <w:szCs w:val="20"/>
              </w:rPr>
              <w:t xml:space="preserve">В целях настоящего пункта сумма доходов определяется по данным налогового учета организации в соответствии со </w:t>
            </w:r>
            <w:hyperlink r:id="rId8" w:history="1">
              <w:r w:rsidRPr="00AB7843">
                <w:rPr>
                  <w:rStyle w:val="a4"/>
                  <w:rFonts w:ascii="Arial" w:hAnsi="Arial" w:cs="Arial"/>
                  <w:b/>
                  <w:bCs/>
                  <w:color w:val="auto"/>
                  <w:sz w:val="20"/>
                  <w:szCs w:val="20"/>
                  <w:u w:val="none"/>
                </w:rPr>
                <w:t>статьей 248</w:t>
              </w:r>
            </w:hyperlink>
            <w:r w:rsidRPr="00AB7843">
              <w:rPr>
                <w:rFonts w:ascii="Arial" w:hAnsi="Arial" w:cs="Arial"/>
                <w:b/>
                <w:bCs/>
                <w:sz w:val="20"/>
                <w:szCs w:val="20"/>
              </w:rPr>
              <w:t xml:space="preserve"> настоящего Кодекса, при этом в нее не включаются доходы, указанные в </w:t>
            </w:r>
            <w:hyperlink r:id="rId9" w:history="1">
              <w:r w:rsidRPr="00AB7843">
                <w:rPr>
                  <w:rStyle w:val="a4"/>
                  <w:rFonts w:ascii="Arial" w:hAnsi="Arial" w:cs="Arial"/>
                  <w:b/>
                  <w:bCs/>
                  <w:color w:val="auto"/>
                  <w:sz w:val="20"/>
                  <w:szCs w:val="20"/>
                  <w:u w:val="none"/>
                </w:rPr>
                <w:t>пунктах 2</w:t>
              </w:r>
            </w:hyperlink>
            <w:r w:rsidRPr="00AB7843">
              <w:rPr>
                <w:rFonts w:ascii="Arial" w:hAnsi="Arial" w:cs="Arial"/>
                <w:b/>
                <w:bCs/>
                <w:sz w:val="20"/>
                <w:szCs w:val="20"/>
              </w:rPr>
              <w:t xml:space="preserve"> и </w:t>
            </w:r>
            <w:hyperlink r:id="rId10" w:history="1">
              <w:r w:rsidRPr="00AB7843">
                <w:rPr>
                  <w:rStyle w:val="a4"/>
                  <w:rFonts w:ascii="Arial" w:hAnsi="Arial" w:cs="Arial"/>
                  <w:b/>
                  <w:bCs/>
                  <w:color w:val="auto"/>
                  <w:sz w:val="20"/>
                  <w:szCs w:val="20"/>
                  <w:u w:val="none"/>
                </w:rPr>
                <w:t>11 части второй статьи 250</w:t>
              </w:r>
            </w:hyperlink>
            <w:r w:rsidRPr="00AB7843">
              <w:rPr>
                <w:rFonts w:ascii="Arial" w:hAnsi="Arial" w:cs="Arial"/>
                <w:b/>
                <w:bCs/>
                <w:sz w:val="20"/>
                <w:szCs w:val="20"/>
              </w:rPr>
              <w:t xml:space="preserve"> и </w:t>
            </w:r>
            <w:hyperlink r:id="rId11" w:history="1">
              <w:r w:rsidRPr="00AB7843">
                <w:rPr>
                  <w:rStyle w:val="a4"/>
                  <w:rFonts w:ascii="Arial" w:hAnsi="Arial" w:cs="Arial"/>
                  <w:b/>
                  <w:bCs/>
                  <w:color w:val="auto"/>
                  <w:sz w:val="20"/>
                  <w:szCs w:val="20"/>
                  <w:u w:val="none"/>
                </w:rPr>
                <w:t>пункте 4.1 статьи 271</w:t>
              </w:r>
            </w:hyperlink>
            <w:r w:rsidRPr="00AB7843">
              <w:rPr>
                <w:rFonts w:ascii="Arial" w:hAnsi="Arial" w:cs="Arial"/>
                <w:b/>
                <w:bCs/>
                <w:sz w:val="20"/>
                <w:szCs w:val="20"/>
              </w:rPr>
              <w:t xml:space="preserve"> настоящего Кодекса, а также доходы от уступки прав требования долга, возникшего при признании доходов, указанных в </w:t>
            </w:r>
            <w:hyperlink w:anchor="p11089" w:history="1">
              <w:r w:rsidRPr="00AB7843">
                <w:rPr>
                  <w:rStyle w:val="a4"/>
                  <w:rFonts w:ascii="Arial" w:hAnsi="Arial" w:cs="Arial"/>
                  <w:b/>
                  <w:bCs/>
                  <w:color w:val="auto"/>
                  <w:sz w:val="20"/>
                  <w:szCs w:val="20"/>
                  <w:u w:val="none"/>
                </w:rPr>
                <w:t>абзаце четвертом</w:t>
              </w:r>
            </w:hyperlink>
            <w:r w:rsidRPr="00AB7843">
              <w:rPr>
                <w:rFonts w:ascii="Arial" w:hAnsi="Arial" w:cs="Arial"/>
                <w:b/>
                <w:bCs/>
                <w:sz w:val="20"/>
                <w:szCs w:val="20"/>
              </w:rPr>
              <w:t xml:space="preserve"> настоящего пункта.</w:t>
            </w:r>
          </w:p>
          <w:p w14:paraId="7C8BEC6E" w14:textId="77777777" w:rsidR="00E17E3E" w:rsidRPr="00AB7843" w:rsidRDefault="00E17E3E" w:rsidP="009B104B">
            <w:pPr>
              <w:ind w:firstLine="540"/>
              <w:jc w:val="both"/>
              <w:rPr>
                <w:rFonts w:ascii="Arial" w:hAnsi="Arial" w:cs="Arial"/>
                <w:b/>
                <w:bCs/>
                <w:sz w:val="20"/>
                <w:szCs w:val="20"/>
              </w:rPr>
            </w:pPr>
            <w:r w:rsidRPr="00AB7843">
              <w:rPr>
                <w:rFonts w:ascii="Arial" w:hAnsi="Arial" w:cs="Arial"/>
                <w:b/>
                <w:bCs/>
                <w:sz w:val="20"/>
                <w:szCs w:val="20"/>
              </w:rPr>
              <w:t xml:space="preserve">В случае, если по итогам налогового (отчетного) периода налогоплательщик не выполняет хотя бы одно из условий, установленных </w:t>
            </w:r>
            <w:hyperlink w:anchor="p11089" w:history="1">
              <w:r w:rsidRPr="00AB7843">
                <w:rPr>
                  <w:rStyle w:val="a4"/>
                  <w:rFonts w:ascii="Arial" w:hAnsi="Arial" w:cs="Arial"/>
                  <w:b/>
                  <w:bCs/>
                  <w:color w:val="auto"/>
                  <w:sz w:val="20"/>
                  <w:szCs w:val="20"/>
                  <w:u w:val="none"/>
                </w:rPr>
                <w:t>абзацами четвертым</w:t>
              </w:r>
            </w:hyperlink>
            <w:r w:rsidRPr="00AB7843">
              <w:rPr>
                <w:rFonts w:ascii="Arial" w:hAnsi="Arial" w:cs="Arial"/>
                <w:b/>
                <w:bCs/>
                <w:sz w:val="20"/>
                <w:szCs w:val="20"/>
              </w:rPr>
              <w:t xml:space="preserve"> и </w:t>
            </w:r>
            <w:hyperlink w:anchor="p11090" w:history="1">
              <w:r w:rsidRPr="00AB7843">
                <w:rPr>
                  <w:rStyle w:val="a4"/>
                  <w:rFonts w:ascii="Arial" w:hAnsi="Arial" w:cs="Arial"/>
                  <w:b/>
                  <w:bCs/>
                  <w:color w:val="auto"/>
                  <w:sz w:val="20"/>
                  <w:szCs w:val="20"/>
                  <w:u w:val="none"/>
                </w:rPr>
                <w:t>пятым</w:t>
              </w:r>
            </w:hyperlink>
            <w:r w:rsidRPr="00AB7843">
              <w:rPr>
                <w:rFonts w:ascii="Arial" w:hAnsi="Arial" w:cs="Arial"/>
                <w:b/>
                <w:bCs/>
                <w:sz w:val="20"/>
                <w:szCs w:val="20"/>
              </w:rPr>
              <w:t xml:space="preserve"> настоящего пункта, а также в случае лишения его государственной аккредитации такой налогоплательщик лишается права применять налоговые ставки, предусмотренные настоящим пунктом, с начала налогового периода, в котором допущено несоответствие установленным условиям либо он лишен государственной аккредитации.</w:t>
            </w:r>
          </w:p>
          <w:p w14:paraId="1EFA24AF" w14:textId="77777777" w:rsidR="00E17E3E" w:rsidRPr="00AB7843" w:rsidRDefault="00E17E3E" w:rsidP="00E17E3E">
            <w:pPr>
              <w:jc w:val="both"/>
              <w:rPr>
                <w:rFonts w:ascii="Arial" w:hAnsi="Arial" w:cs="Arial"/>
                <w:b/>
                <w:bCs/>
                <w:sz w:val="20"/>
                <w:szCs w:val="20"/>
              </w:rPr>
            </w:pPr>
          </w:p>
        </w:tc>
      </w:tr>
      <w:tr w:rsidR="00E17E3E" w:rsidRPr="00E17E3E" w14:paraId="42E85637" w14:textId="77777777" w:rsidTr="009B104B">
        <w:tc>
          <w:tcPr>
            <w:tcW w:w="985" w:type="dxa"/>
          </w:tcPr>
          <w:p w14:paraId="1D96FC27" w14:textId="77777777" w:rsidR="00E17E3E" w:rsidRPr="00E17E3E" w:rsidRDefault="00E17E3E" w:rsidP="009B104B">
            <w:pPr>
              <w:rPr>
                <w:rFonts w:ascii="Arial" w:hAnsi="Arial" w:cs="Arial"/>
                <w:sz w:val="20"/>
                <w:szCs w:val="20"/>
              </w:rPr>
            </w:pPr>
            <w:r w:rsidRPr="00E17E3E">
              <w:rPr>
                <w:rFonts w:ascii="Arial" w:hAnsi="Arial" w:cs="Arial"/>
                <w:sz w:val="20"/>
                <w:szCs w:val="20"/>
              </w:rPr>
              <w:lastRenderedPageBreak/>
              <w:t>Подп.26 п.2 ст.149</w:t>
            </w:r>
          </w:p>
        </w:tc>
        <w:tc>
          <w:tcPr>
            <w:tcW w:w="5673" w:type="dxa"/>
          </w:tcPr>
          <w:p w14:paraId="445419BE" w14:textId="77777777" w:rsidR="00E17E3E" w:rsidRPr="00E17E3E" w:rsidRDefault="000F5599" w:rsidP="009B104B">
            <w:pPr>
              <w:ind w:firstLine="540"/>
              <w:jc w:val="both"/>
              <w:rPr>
                <w:rFonts w:ascii="Arial" w:hAnsi="Arial" w:cs="Arial"/>
                <w:sz w:val="20"/>
                <w:szCs w:val="20"/>
              </w:rPr>
            </w:pPr>
            <w:hyperlink r:id="rId12" w:history="1">
              <w:r w:rsidR="00E17E3E" w:rsidRPr="00E17E3E">
                <w:rPr>
                  <w:rStyle w:val="a4"/>
                  <w:rFonts w:ascii="Arial" w:hAnsi="Arial" w:cs="Arial"/>
                  <w:color w:val="auto"/>
                  <w:sz w:val="20"/>
                  <w:szCs w:val="20"/>
                  <w:u w:val="none"/>
                </w:rPr>
                <w:t>исключительных прав</w:t>
              </w:r>
            </w:hyperlink>
            <w:r w:rsidR="00E17E3E" w:rsidRPr="00E17E3E">
              <w:rPr>
                <w:rFonts w:ascii="Arial" w:hAnsi="Arial" w:cs="Arial"/>
                <w:sz w:val="20"/>
                <w:szCs w:val="20"/>
              </w:rPr>
              <w:t xml:space="preserve"> на </w:t>
            </w:r>
            <w:r w:rsidR="00E17E3E" w:rsidRPr="00AB7843">
              <w:rPr>
                <w:rFonts w:ascii="Arial" w:hAnsi="Arial" w:cs="Arial"/>
                <w:strike/>
                <w:sz w:val="20"/>
                <w:szCs w:val="20"/>
              </w:rPr>
              <w:t>изобретения, полезные модели, промышленные образцы</w:t>
            </w:r>
            <w:r w:rsidR="00E17E3E" w:rsidRPr="00E17E3E">
              <w:rPr>
                <w:rFonts w:ascii="Arial" w:hAnsi="Arial" w:cs="Arial"/>
                <w:sz w:val="20"/>
                <w:szCs w:val="20"/>
              </w:rPr>
              <w:t xml:space="preserve">, программы для электронных вычислительных машин, базы данных, </w:t>
            </w:r>
            <w:r w:rsidR="00E17E3E" w:rsidRPr="00AB7843">
              <w:rPr>
                <w:rFonts w:ascii="Arial" w:hAnsi="Arial" w:cs="Arial"/>
                <w:strike/>
                <w:sz w:val="20"/>
                <w:szCs w:val="20"/>
              </w:rPr>
              <w:t xml:space="preserve">топологии интегральных микросхем, секреты производства (ноу-хау), а также прав на использование указанных результатов интеллектуальной деятельности </w:t>
            </w:r>
            <w:r w:rsidR="00E17E3E" w:rsidRPr="00AB7843">
              <w:rPr>
                <w:rFonts w:ascii="Arial" w:hAnsi="Arial" w:cs="Arial"/>
                <w:bCs/>
                <w:strike/>
                <w:sz w:val="20"/>
                <w:szCs w:val="20"/>
              </w:rPr>
              <w:t xml:space="preserve">на основании </w:t>
            </w:r>
            <w:hyperlink r:id="rId13" w:history="1">
              <w:r w:rsidR="00E17E3E" w:rsidRPr="00AB7843">
                <w:rPr>
                  <w:rStyle w:val="a4"/>
                  <w:rFonts w:ascii="Arial" w:hAnsi="Arial" w:cs="Arial"/>
                  <w:bCs/>
                  <w:strike/>
                  <w:color w:val="auto"/>
                  <w:sz w:val="20"/>
                  <w:szCs w:val="20"/>
                  <w:u w:val="none"/>
                </w:rPr>
                <w:t>лицензионного договора</w:t>
              </w:r>
            </w:hyperlink>
            <w:r w:rsidR="00E17E3E" w:rsidRPr="00E17E3E">
              <w:rPr>
                <w:rFonts w:ascii="Arial" w:hAnsi="Arial" w:cs="Arial"/>
                <w:sz w:val="20"/>
                <w:szCs w:val="20"/>
              </w:rPr>
              <w:t>;</w:t>
            </w:r>
          </w:p>
          <w:p w14:paraId="696C62FD" w14:textId="77777777" w:rsidR="00E17E3E" w:rsidRPr="00E17E3E" w:rsidRDefault="00E17E3E" w:rsidP="009B104B">
            <w:pPr>
              <w:rPr>
                <w:rFonts w:ascii="Arial" w:hAnsi="Arial" w:cs="Arial"/>
                <w:sz w:val="20"/>
                <w:szCs w:val="20"/>
              </w:rPr>
            </w:pPr>
          </w:p>
        </w:tc>
        <w:tc>
          <w:tcPr>
            <w:tcW w:w="8221" w:type="dxa"/>
          </w:tcPr>
          <w:p w14:paraId="7E1E835C" w14:textId="77777777" w:rsidR="00E17E3E" w:rsidRPr="00AB7843" w:rsidRDefault="000F5599" w:rsidP="009B104B">
            <w:pPr>
              <w:ind w:firstLine="540"/>
              <w:jc w:val="both"/>
              <w:rPr>
                <w:rFonts w:ascii="Arial" w:hAnsi="Arial" w:cs="Arial"/>
                <w:b/>
                <w:sz w:val="20"/>
                <w:szCs w:val="20"/>
              </w:rPr>
            </w:pPr>
            <w:hyperlink r:id="rId14" w:history="1">
              <w:r w:rsidR="00E17E3E" w:rsidRPr="00E17E3E">
                <w:rPr>
                  <w:rStyle w:val="a4"/>
                  <w:rFonts w:ascii="Arial" w:hAnsi="Arial" w:cs="Arial"/>
                  <w:color w:val="auto"/>
                  <w:sz w:val="20"/>
                  <w:szCs w:val="20"/>
                  <w:u w:val="none"/>
                </w:rPr>
                <w:t>исключительных прав</w:t>
              </w:r>
            </w:hyperlink>
            <w:r w:rsidR="00E17E3E" w:rsidRPr="00E17E3E">
              <w:rPr>
                <w:rFonts w:ascii="Arial" w:hAnsi="Arial" w:cs="Arial"/>
                <w:sz w:val="20"/>
                <w:szCs w:val="20"/>
              </w:rPr>
              <w:t xml:space="preserve"> на программы для электронных вычислительных машин </w:t>
            </w:r>
            <w:r w:rsidR="00E17E3E" w:rsidRPr="00AB7843">
              <w:rPr>
                <w:rFonts w:ascii="Arial" w:hAnsi="Arial" w:cs="Arial"/>
                <w:b/>
                <w:bCs/>
                <w:sz w:val="20"/>
                <w:szCs w:val="20"/>
              </w:rPr>
              <w:t>и</w:t>
            </w:r>
            <w:r w:rsidR="00E17E3E" w:rsidRPr="00E17E3E">
              <w:rPr>
                <w:rFonts w:ascii="Arial" w:hAnsi="Arial" w:cs="Arial"/>
                <w:sz w:val="20"/>
                <w:szCs w:val="20"/>
              </w:rPr>
              <w:t xml:space="preserve"> базы данных, </w:t>
            </w:r>
            <w:r w:rsidR="00E17E3E" w:rsidRPr="00AB7843">
              <w:rPr>
                <w:rFonts w:ascii="Arial" w:hAnsi="Arial" w:cs="Arial"/>
                <w:b/>
                <w:sz w:val="20"/>
                <w:szCs w:val="20"/>
              </w:rPr>
              <w:t>включенные в единый реестр российских программ для электронных вычислительных машин и баз данных, прав на использование таких программ и баз данных (включая обновления к ним и дополнительные функциональные возможности), в том числе путем предоставления удаленного доступа к ним через информационно-телекоммуникационную сеть "Интернет".</w:t>
            </w:r>
          </w:p>
          <w:p w14:paraId="73A25F7F" w14:textId="77777777" w:rsidR="00E17E3E" w:rsidRPr="00B23DD5" w:rsidRDefault="00E17E3E" w:rsidP="00E17E3E">
            <w:pPr>
              <w:ind w:firstLine="540"/>
              <w:jc w:val="both"/>
              <w:rPr>
                <w:rFonts w:ascii="Arial" w:hAnsi="Arial" w:cs="Arial"/>
                <w:sz w:val="20"/>
                <w:szCs w:val="20"/>
              </w:rPr>
            </w:pPr>
            <w:r w:rsidRPr="00AB7843">
              <w:rPr>
                <w:rFonts w:ascii="Arial" w:hAnsi="Arial" w:cs="Arial"/>
                <w:b/>
                <w:sz w:val="20"/>
                <w:szCs w:val="20"/>
              </w:rPr>
              <w:t xml:space="preserve">Положения настоящего подпункта </w:t>
            </w:r>
            <w:hyperlink r:id="rId15" w:history="1">
              <w:r w:rsidRPr="00AB7843">
                <w:rPr>
                  <w:rStyle w:val="a4"/>
                  <w:rFonts w:ascii="Arial" w:hAnsi="Arial" w:cs="Arial"/>
                  <w:b/>
                  <w:color w:val="auto"/>
                  <w:sz w:val="20"/>
                  <w:szCs w:val="20"/>
                  <w:u w:val="none"/>
                </w:rPr>
                <w:t>не применяются</w:t>
              </w:r>
            </w:hyperlink>
            <w:r w:rsidRPr="00AB7843">
              <w:rPr>
                <w:rFonts w:ascii="Arial" w:hAnsi="Arial" w:cs="Arial"/>
                <w:b/>
                <w:sz w:val="20"/>
                <w:szCs w:val="20"/>
              </w:rPr>
              <w:t>, если передаваемые права состоят в получении возможности распространять рекламную информацию в информационно-телекоммуникационной сети "Интернет" и (или) получать доступ к такой информации, размещать предложения о приобретении (реализации) товаров (работ, услуг), имущественных прав в информационно-телекоммуникационной сети "Интернет", осуществлять поиск информации о потенциальных покупателях (продавцах) и (или) заключать сделки;</w:t>
            </w:r>
          </w:p>
          <w:p w14:paraId="37368DBD" w14:textId="77777777" w:rsidR="00E17E3E" w:rsidRPr="00E17E3E" w:rsidRDefault="00E17E3E" w:rsidP="00E17E3E">
            <w:pPr>
              <w:ind w:firstLine="540"/>
              <w:jc w:val="both"/>
              <w:rPr>
                <w:rFonts w:ascii="Arial" w:hAnsi="Arial" w:cs="Arial"/>
                <w:sz w:val="20"/>
                <w:szCs w:val="20"/>
              </w:rPr>
            </w:pPr>
          </w:p>
        </w:tc>
      </w:tr>
    </w:tbl>
    <w:p w14:paraId="66404B8D" w14:textId="77777777" w:rsidR="00E17E3E" w:rsidRPr="00B23DD5" w:rsidRDefault="00E17E3E"/>
    <w:p w14:paraId="51F0767D" w14:textId="01ACFDEF" w:rsidR="00195F5A" w:rsidRPr="00C934C3" w:rsidRDefault="000F5599" w:rsidP="00C934C3">
      <w:pPr>
        <w:jc w:val="both"/>
        <w:rPr>
          <w:rFonts w:ascii="Arial" w:eastAsia="Times New Roman" w:hAnsi="Arial" w:cs="Arial"/>
          <w:sz w:val="20"/>
          <w:szCs w:val="20"/>
          <w:lang w:eastAsia="ru-RU"/>
        </w:rPr>
      </w:pPr>
      <w:r>
        <w:rPr>
          <w:rFonts w:ascii="Arial" w:eastAsia="Times New Roman" w:hAnsi="Arial" w:cs="Arial"/>
          <w:sz w:val="20"/>
          <w:szCs w:val="20"/>
          <w:lang w:eastAsia="ru-RU"/>
        </w:rPr>
        <w:t>---</w:t>
      </w:r>
    </w:p>
    <w:sectPr w:rsidR="00195F5A" w:rsidRPr="00C934C3" w:rsidSect="000F5599">
      <w:pgSz w:w="16838" w:h="11906" w:orient="landscape"/>
      <w:pgMar w:top="1247" w:right="680" w:bottom="851"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22057"/>
    <w:multiLevelType w:val="hybridMultilevel"/>
    <w:tmpl w:val="BE648448"/>
    <w:lvl w:ilvl="0" w:tplc="E744AECA">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D5336F"/>
    <w:multiLevelType w:val="hybridMultilevel"/>
    <w:tmpl w:val="E4701D8C"/>
    <w:lvl w:ilvl="0" w:tplc="E744AECA">
      <w:start w:val="1"/>
      <w:numFmt w:val="bullet"/>
      <w:lvlText w:val="–"/>
      <w:lvlJc w:val="left"/>
      <w:pPr>
        <w:ind w:left="360" w:hanging="360"/>
      </w:pPr>
      <w:rPr>
        <w:rFonts w:ascii="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CFC1762"/>
    <w:multiLevelType w:val="multilevel"/>
    <w:tmpl w:val="8A5A0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4C7558"/>
    <w:multiLevelType w:val="multilevel"/>
    <w:tmpl w:val="1146F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48646D"/>
    <w:multiLevelType w:val="hybridMultilevel"/>
    <w:tmpl w:val="E9C01D2A"/>
    <w:lvl w:ilvl="0" w:tplc="E744AECA">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104"/>
    <w:rsid w:val="00052C33"/>
    <w:rsid w:val="000F5599"/>
    <w:rsid w:val="00135104"/>
    <w:rsid w:val="003C3A05"/>
    <w:rsid w:val="00546A92"/>
    <w:rsid w:val="005B455C"/>
    <w:rsid w:val="00797E04"/>
    <w:rsid w:val="007D768C"/>
    <w:rsid w:val="008C48E7"/>
    <w:rsid w:val="00A30D53"/>
    <w:rsid w:val="00AB7843"/>
    <w:rsid w:val="00AD130E"/>
    <w:rsid w:val="00B23DD5"/>
    <w:rsid w:val="00C725DA"/>
    <w:rsid w:val="00C934C3"/>
    <w:rsid w:val="00DE19B5"/>
    <w:rsid w:val="00E17E3E"/>
    <w:rsid w:val="00E80C23"/>
    <w:rsid w:val="00E86452"/>
    <w:rsid w:val="00EA3653"/>
    <w:rsid w:val="00F71C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69FD5"/>
  <w15:chartTrackingRefBased/>
  <w15:docId w15:val="{F9A4A47E-BD80-4FEA-8AA4-86933347D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D7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546A92"/>
    <w:rPr>
      <w:color w:val="0000FF"/>
      <w:u w:val="single"/>
    </w:rPr>
  </w:style>
  <w:style w:type="paragraph" w:styleId="a5">
    <w:name w:val="List Paragraph"/>
    <w:basedOn w:val="a"/>
    <w:uiPriority w:val="34"/>
    <w:qFormat/>
    <w:rsid w:val="00A30D53"/>
    <w:pPr>
      <w:ind w:left="720"/>
      <w:contextualSpacing/>
    </w:pPr>
  </w:style>
  <w:style w:type="paragraph" w:styleId="a6">
    <w:name w:val="Balloon Text"/>
    <w:basedOn w:val="a"/>
    <w:link w:val="a7"/>
    <w:uiPriority w:val="99"/>
    <w:semiHidden/>
    <w:unhideWhenUsed/>
    <w:rsid w:val="005B455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B45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329282">
      <w:bodyDiv w:val="1"/>
      <w:marLeft w:val="0"/>
      <w:marRight w:val="0"/>
      <w:marTop w:val="0"/>
      <w:marBottom w:val="0"/>
      <w:divBdr>
        <w:top w:val="none" w:sz="0" w:space="0" w:color="auto"/>
        <w:left w:val="none" w:sz="0" w:space="0" w:color="auto"/>
        <w:bottom w:val="none" w:sz="0" w:space="0" w:color="auto"/>
        <w:right w:val="none" w:sz="0" w:space="0" w:color="auto"/>
      </w:divBdr>
    </w:div>
    <w:div w:id="428894822">
      <w:bodyDiv w:val="1"/>
      <w:marLeft w:val="0"/>
      <w:marRight w:val="0"/>
      <w:marTop w:val="0"/>
      <w:marBottom w:val="0"/>
      <w:divBdr>
        <w:top w:val="none" w:sz="0" w:space="0" w:color="auto"/>
        <w:left w:val="none" w:sz="0" w:space="0" w:color="auto"/>
        <w:bottom w:val="none" w:sz="0" w:space="0" w:color="auto"/>
        <w:right w:val="none" w:sz="0" w:space="0" w:color="auto"/>
      </w:divBdr>
    </w:div>
    <w:div w:id="453213966">
      <w:bodyDiv w:val="1"/>
      <w:marLeft w:val="0"/>
      <w:marRight w:val="0"/>
      <w:marTop w:val="0"/>
      <w:marBottom w:val="0"/>
      <w:divBdr>
        <w:top w:val="none" w:sz="0" w:space="0" w:color="auto"/>
        <w:left w:val="none" w:sz="0" w:space="0" w:color="auto"/>
        <w:bottom w:val="none" w:sz="0" w:space="0" w:color="auto"/>
        <w:right w:val="none" w:sz="0" w:space="0" w:color="auto"/>
      </w:divBdr>
    </w:div>
    <w:div w:id="701705139">
      <w:bodyDiv w:val="1"/>
      <w:marLeft w:val="0"/>
      <w:marRight w:val="0"/>
      <w:marTop w:val="0"/>
      <w:marBottom w:val="0"/>
      <w:divBdr>
        <w:top w:val="none" w:sz="0" w:space="0" w:color="auto"/>
        <w:left w:val="none" w:sz="0" w:space="0" w:color="auto"/>
        <w:bottom w:val="none" w:sz="0" w:space="0" w:color="auto"/>
        <w:right w:val="none" w:sz="0" w:space="0" w:color="auto"/>
      </w:divBdr>
    </w:div>
    <w:div w:id="915356419">
      <w:bodyDiv w:val="1"/>
      <w:marLeft w:val="0"/>
      <w:marRight w:val="0"/>
      <w:marTop w:val="0"/>
      <w:marBottom w:val="0"/>
      <w:divBdr>
        <w:top w:val="none" w:sz="0" w:space="0" w:color="auto"/>
        <w:left w:val="none" w:sz="0" w:space="0" w:color="auto"/>
        <w:bottom w:val="none" w:sz="0" w:space="0" w:color="auto"/>
        <w:right w:val="none" w:sz="0" w:space="0" w:color="auto"/>
      </w:divBdr>
    </w:div>
    <w:div w:id="1062211944">
      <w:bodyDiv w:val="1"/>
      <w:marLeft w:val="0"/>
      <w:marRight w:val="0"/>
      <w:marTop w:val="0"/>
      <w:marBottom w:val="0"/>
      <w:divBdr>
        <w:top w:val="none" w:sz="0" w:space="0" w:color="auto"/>
        <w:left w:val="none" w:sz="0" w:space="0" w:color="auto"/>
        <w:bottom w:val="none" w:sz="0" w:space="0" w:color="auto"/>
        <w:right w:val="none" w:sz="0" w:space="0" w:color="auto"/>
      </w:divBdr>
      <w:divsChild>
        <w:div w:id="1290013225">
          <w:marLeft w:val="0"/>
          <w:marRight w:val="0"/>
          <w:marTop w:val="192"/>
          <w:marBottom w:val="0"/>
          <w:divBdr>
            <w:top w:val="none" w:sz="0" w:space="0" w:color="auto"/>
            <w:left w:val="none" w:sz="0" w:space="0" w:color="auto"/>
            <w:bottom w:val="none" w:sz="0" w:space="0" w:color="auto"/>
            <w:right w:val="none" w:sz="0" w:space="0" w:color="auto"/>
          </w:divBdr>
        </w:div>
        <w:div w:id="1510943084">
          <w:marLeft w:val="0"/>
          <w:marRight w:val="0"/>
          <w:marTop w:val="192"/>
          <w:marBottom w:val="0"/>
          <w:divBdr>
            <w:top w:val="none" w:sz="0" w:space="0" w:color="auto"/>
            <w:left w:val="none" w:sz="0" w:space="0" w:color="auto"/>
            <w:bottom w:val="none" w:sz="0" w:space="0" w:color="auto"/>
            <w:right w:val="none" w:sz="0" w:space="0" w:color="auto"/>
          </w:divBdr>
        </w:div>
        <w:div w:id="774784217">
          <w:marLeft w:val="0"/>
          <w:marRight w:val="0"/>
          <w:marTop w:val="192"/>
          <w:marBottom w:val="0"/>
          <w:divBdr>
            <w:top w:val="none" w:sz="0" w:space="0" w:color="auto"/>
            <w:left w:val="none" w:sz="0" w:space="0" w:color="auto"/>
            <w:bottom w:val="none" w:sz="0" w:space="0" w:color="auto"/>
            <w:right w:val="none" w:sz="0" w:space="0" w:color="auto"/>
          </w:divBdr>
        </w:div>
        <w:div w:id="1417441085">
          <w:marLeft w:val="0"/>
          <w:marRight w:val="0"/>
          <w:marTop w:val="192"/>
          <w:marBottom w:val="0"/>
          <w:divBdr>
            <w:top w:val="none" w:sz="0" w:space="0" w:color="auto"/>
            <w:left w:val="none" w:sz="0" w:space="0" w:color="auto"/>
            <w:bottom w:val="none" w:sz="0" w:space="0" w:color="auto"/>
            <w:right w:val="none" w:sz="0" w:space="0" w:color="auto"/>
          </w:divBdr>
        </w:div>
        <w:div w:id="642583442">
          <w:marLeft w:val="0"/>
          <w:marRight w:val="0"/>
          <w:marTop w:val="192"/>
          <w:marBottom w:val="0"/>
          <w:divBdr>
            <w:top w:val="none" w:sz="0" w:space="0" w:color="auto"/>
            <w:left w:val="none" w:sz="0" w:space="0" w:color="auto"/>
            <w:bottom w:val="none" w:sz="0" w:space="0" w:color="auto"/>
            <w:right w:val="none" w:sz="0" w:space="0" w:color="auto"/>
          </w:divBdr>
        </w:div>
        <w:div w:id="1962152504">
          <w:marLeft w:val="0"/>
          <w:marRight w:val="0"/>
          <w:marTop w:val="192"/>
          <w:marBottom w:val="0"/>
          <w:divBdr>
            <w:top w:val="none" w:sz="0" w:space="0" w:color="auto"/>
            <w:left w:val="none" w:sz="0" w:space="0" w:color="auto"/>
            <w:bottom w:val="none" w:sz="0" w:space="0" w:color="auto"/>
            <w:right w:val="none" w:sz="0" w:space="0" w:color="auto"/>
          </w:divBdr>
        </w:div>
        <w:div w:id="18239478">
          <w:marLeft w:val="0"/>
          <w:marRight w:val="0"/>
          <w:marTop w:val="192"/>
          <w:marBottom w:val="0"/>
          <w:divBdr>
            <w:top w:val="none" w:sz="0" w:space="0" w:color="auto"/>
            <w:left w:val="none" w:sz="0" w:space="0" w:color="auto"/>
            <w:bottom w:val="none" w:sz="0" w:space="0" w:color="auto"/>
            <w:right w:val="none" w:sz="0" w:space="0" w:color="auto"/>
          </w:divBdr>
        </w:div>
      </w:divsChild>
    </w:div>
    <w:div w:id="1294559653">
      <w:bodyDiv w:val="1"/>
      <w:marLeft w:val="0"/>
      <w:marRight w:val="0"/>
      <w:marTop w:val="0"/>
      <w:marBottom w:val="0"/>
      <w:divBdr>
        <w:top w:val="none" w:sz="0" w:space="0" w:color="auto"/>
        <w:left w:val="none" w:sz="0" w:space="0" w:color="auto"/>
        <w:bottom w:val="none" w:sz="0" w:space="0" w:color="auto"/>
        <w:right w:val="none" w:sz="0" w:space="0" w:color="auto"/>
      </w:divBdr>
      <w:divsChild>
        <w:div w:id="1937591246">
          <w:marLeft w:val="0"/>
          <w:marRight w:val="0"/>
          <w:marTop w:val="0"/>
          <w:marBottom w:val="0"/>
          <w:divBdr>
            <w:top w:val="none" w:sz="0" w:space="0" w:color="auto"/>
            <w:left w:val="none" w:sz="0" w:space="0" w:color="auto"/>
            <w:bottom w:val="none" w:sz="0" w:space="0" w:color="auto"/>
            <w:right w:val="none" w:sz="0" w:space="0" w:color="auto"/>
          </w:divBdr>
        </w:div>
        <w:div w:id="210650299">
          <w:marLeft w:val="0"/>
          <w:marRight w:val="0"/>
          <w:marTop w:val="0"/>
          <w:marBottom w:val="0"/>
          <w:divBdr>
            <w:top w:val="none" w:sz="0" w:space="0" w:color="auto"/>
            <w:left w:val="none" w:sz="0" w:space="0" w:color="auto"/>
            <w:bottom w:val="none" w:sz="0" w:space="0" w:color="auto"/>
            <w:right w:val="none" w:sz="0" w:space="0" w:color="auto"/>
          </w:divBdr>
          <w:divsChild>
            <w:div w:id="849412383">
              <w:marLeft w:val="0"/>
              <w:marRight w:val="0"/>
              <w:marTop w:val="0"/>
              <w:marBottom w:val="0"/>
              <w:divBdr>
                <w:top w:val="none" w:sz="0" w:space="0" w:color="auto"/>
                <w:left w:val="none" w:sz="0" w:space="0" w:color="auto"/>
                <w:bottom w:val="none" w:sz="0" w:space="0" w:color="auto"/>
                <w:right w:val="none" w:sz="0" w:space="0" w:color="auto"/>
              </w:divBdr>
              <w:divsChild>
                <w:div w:id="953680143">
                  <w:marLeft w:val="0"/>
                  <w:marRight w:val="0"/>
                  <w:marTop w:val="0"/>
                  <w:marBottom w:val="0"/>
                  <w:divBdr>
                    <w:top w:val="none" w:sz="0" w:space="0" w:color="auto"/>
                    <w:left w:val="none" w:sz="0" w:space="0" w:color="auto"/>
                    <w:bottom w:val="none" w:sz="0" w:space="0" w:color="auto"/>
                    <w:right w:val="none" w:sz="0" w:space="0" w:color="auto"/>
                  </w:divBdr>
                  <w:divsChild>
                    <w:div w:id="898126752">
                      <w:marLeft w:val="0"/>
                      <w:marRight w:val="0"/>
                      <w:marTop w:val="0"/>
                      <w:marBottom w:val="0"/>
                      <w:divBdr>
                        <w:top w:val="none" w:sz="0" w:space="0" w:color="auto"/>
                        <w:left w:val="none" w:sz="0" w:space="0" w:color="auto"/>
                        <w:bottom w:val="none" w:sz="0" w:space="0" w:color="auto"/>
                        <w:right w:val="none" w:sz="0" w:space="0" w:color="auto"/>
                      </w:divBdr>
                      <w:divsChild>
                        <w:div w:id="679699674">
                          <w:marLeft w:val="0"/>
                          <w:marRight w:val="0"/>
                          <w:marTop w:val="0"/>
                          <w:marBottom w:val="0"/>
                          <w:divBdr>
                            <w:top w:val="none" w:sz="0" w:space="0" w:color="auto"/>
                            <w:left w:val="none" w:sz="0" w:space="0" w:color="auto"/>
                            <w:bottom w:val="none" w:sz="0" w:space="0" w:color="auto"/>
                            <w:right w:val="none" w:sz="0" w:space="0" w:color="auto"/>
                          </w:divBdr>
                          <w:divsChild>
                            <w:div w:id="969700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2938834">
                                  <w:marLeft w:val="0"/>
                                  <w:marRight w:val="0"/>
                                  <w:marTop w:val="0"/>
                                  <w:marBottom w:val="0"/>
                                  <w:divBdr>
                                    <w:top w:val="none" w:sz="0" w:space="0" w:color="auto"/>
                                    <w:left w:val="none" w:sz="0" w:space="0" w:color="auto"/>
                                    <w:bottom w:val="none" w:sz="0" w:space="0" w:color="auto"/>
                                    <w:right w:val="none" w:sz="0" w:space="0" w:color="auto"/>
                                  </w:divBdr>
                                  <w:divsChild>
                                    <w:div w:id="716590713">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 w:id="30913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011993">
      <w:bodyDiv w:val="1"/>
      <w:marLeft w:val="0"/>
      <w:marRight w:val="0"/>
      <w:marTop w:val="0"/>
      <w:marBottom w:val="0"/>
      <w:divBdr>
        <w:top w:val="none" w:sz="0" w:space="0" w:color="auto"/>
        <w:left w:val="none" w:sz="0" w:space="0" w:color="auto"/>
        <w:bottom w:val="none" w:sz="0" w:space="0" w:color="auto"/>
        <w:right w:val="none" w:sz="0" w:space="0" w:color="auto"/>
      </w:divBdr>
      <w:divsChild>
        <w:div w:id="549070699">
          <w:marLeft w:val="0"/>
          <w:marRight w:val="0"/>
          <w:marTop w:val="0"/>
          <w:marBottom w:val="0"/>
          <w:divBdr>
            <w:top w:val="none" w:sz="0" w:space="0" w:color="auto"/>
            <w:left w:val="none" w:sz="0" w:space="0" w:color="auto"/>
            <w:bottom w:val="none" w:sz="0" w:space="0" w:color="auto"/>
            <w:right w:val="none" w:sz="0" w:space="0" w:color="auto"/>
          </w:divBdr>
        </w:div>
      </w:divsChild>
    </w:div>
    <w:div w:id="1440175498">
      <w:bodyDiv w:val="1"/>
      <w:marLeft w:val="0"/>
      <w:marRight w:val="0"/>
      <w:marTop w:val="0"/>
      <w:marBottom w:val="0"/>
      <w:divBdr>
        <w:top w:val="none" w:sz="0" w:space="0" w:color="auto"/>
        <w:left w:val="none" w:sz="0" w:space="0" w:color="auto"/>
        <w:bottom w:val="none" w:sz="0" w:space="0" w:color="auto"/>
        <w:right w:val="none" w:sz="0" w:space="0" w:color="auto"/>
      </w:divBdr>
      <w:divsChild>
        <w:div w:id="1363284348">
          <w:marLeft w:val="0"/>
          <w:marRight w:val="0"/>
          <w:marTop w:val="0"/>
          <w:marBottom w:val="0"/>
          <w:divBdr>
            <w:top w:val="none" w:sz="0" w:space="0" w:color="auto"/>
            <w:left w:val="none" w:sz="0" w:space="0" w:color="auto"/>
            <w:bottom w:val="none" w:sz="0" w:space="0" w:color="auto"/>
            <w:right w:val="none" w:sz="0" w:space="0" w:color="auto"/>
          </w:divBdr>
        </w:div>
      </w:divsChild>
    </w:div>
    <w:div w:id="1621378707">
      <w:bodyDiv w:val="1"/>
      <w:marLeft w:val="0"/>
      <w:marRight w:val="0"/>
      <w:marTop w:val="0"/>
      <w:marBottom w:val="0"/>
      <w:divBdr>
        <w:top w:val="none" w:sz="0" w:space="0" w:color="auto"/>
        <w:left w:val="none" w:sz="0" w:space="0" w:color="auto"/>
        <w:bottom w:val="none" w:sz="0" w:space="0" w:color="auto"/>
        <w:right w:val="none" w:sz="0" w:space="0" w:color="auto"/>
      </w:divBdr>
    </w:div>
    <w:div w:id="210707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0EBDB3960EA059C0B6226EA6B163E751&amp;req=doc&amp;base=LAW&amp;n=389333&amp;dst=101846&amp;fld=134&amp;date=16.08.2021" TargetMode="External"/><Relationship Id="rId13" Type="http://schemas.openxmlformats.org/officeDocument/2006/relationships/hyperlink" Target="https://login.consultant.ru/link/?rnd=0EBDB3960EA059C0B6226EA6B163E751&amp;req=doc&amp;base=LAW&amp;n=329334&amp;dst=100082&amp;fld=134&amp;REFFIELD=134&amp;REFDST=3508&amp;REFDOC=342361&amp;REFBASE=LAW&amp;stat=refcode%3D16610%3Bdstident%3D100082%3Bindex%3D638&amp;date=16.08.2021" TargetMode="External"/><Relationship Id="rId3" Type="http://schemas.openxmlformats.org/officeDocument/2006/relationships/settings" Target="settings.xml"/><Relationship Id="rId7" Type="http://schemas.openxmlformats.org/officeDocument/2006/relationships/hyperlink" Target="https://login.consultant.ru/link/?rnd=0EBDB3960EA059C0B6226EA6B163E751&amp;req=doc&amp;base=LAW&amp;n=378415&amp;dst=100018&amp;fld=134&amp;REFFIELD=134&amp;REFDST=18894&amp;REFDOC=389333&amp;REFBASE=LAW&amp;stat=refcode%3D16610%3Bdstident%3D100018%3Bindex%3D11086&amp;date=16.08.2021" TargetMode="External"/><Relationship Id="rId12" Type="http://schemas.openxmlformats.org/officeDocument/2006/relationships/hyperlink" Target="https://login.consultant.ru/link/?rnd=0EBDB3960EA059C0B6226EA6B163E751&amp;req=doc&amp;base=LAW&amp;n=329334&amp;dst=100041&amp;fld=134&amp;REFFIELD=134&amp;REFDST=3508&amp;REFDOC=342361&amp;REFBASE=LAW&amp;stat=refcode%3D16610%3Bdstident%3D100041%3Bindex%3D638&amp;date=16.08.202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login.consultant.ru/link/?rnd=A2DC1D7A4EB495E22B842B2907C7F6C6&amp;req=doc&amp;base=RZR&amp;n=378415&amp;dst=100018&amp;fld=134&amp;REFFIELD=134&amp;REFDST=18949&amp;REFDOC=389333&amp;REFBASE=RZR&amp;stat=refcode%3D16610%3Bdstident%3D100018%3Bindex%3D21930&amp;date=12.08.2021" TargetMode="External"/><Relationship Id="rId11" Type="http://schemas.openxmlformats.org/officeDocument/2006/relationships/hyperlink" Target="https://login.consultant.ru/link/?rnd=0EBDB3960EA059C0B6226EA6B163E751&amp;req=doc&amp;base=LAW&amp;n=389333&amp;dst=17007&amp;fld=134&amp;date=16.08.2021" TargetMode="External"/><Relationship Id="rId5" Type="http://schemas.openxmlformats.org/officeDocument/2006/relationships/hyperlink" Target="https://login.consultant.ru/link/?rnd=0EBDB3960EA059C0B6226EA6B163E751&amp;req=doc&amp;base=LAW&amp;n=378415&amp;dst=100018&amp;fld=134&amp;REFFIELD=134&amp;REFDST=18937&amp;REFDOC=389333&amp;REFBASE=LAW&amp;stat=refcode%3D16610%3Bdstident%3D100018%3Bindex%3D21781&amp;date=16.08.2021" TargetMode="External"/><Relationship Id="rId15" Type="http://schemas.openxmlformats.org/officeDocument/2006/relationships/hyperlink" Target="https://login.consultant.ru/link/?rnd=0EBDB3960EA059C0B6226EA6B163E751&amp;req=doc&amp;base=LAW&amp;n=371580&amp;dst=100009&amp;fld=134&amp;REFFIELD=134&amp;REFDST=18891&amp;REFDOC=389333&amp;REFBASE=LAW&amp;stat=refcode%3D16610%3Bdstident%3D100009%3Bindex%3D693&amp;date=16.08.2021" TargetMode="External"/><Relationship Id="rId10" Type="http://schemas.openxmlformats.org/officeDocument/2006/relationships/hyperlink" Target="https://login.consultant.ru/link/?rnd=0EBDB3960EA059C0B6226EA6B163E751&amp;req=doc&amp;base=LAW&amp;n=389333&amp;dst=9783&amp;fld=134&amp;date=16.08.2021" TargetMode="External"/><Relationship Id="rId4" Type="http://schemas.openxmlformats.org/officeDocument/2006/relationships/webSettings" Target="webSettings.xml"/><Relationship Id="rId9" Type="http://schemas.openxmlformats.org/officeDocument/2006/relationships/hyperlink" Target="https://login.consultant.ru/link/?rnd=0EBDB3960EA059C0B6226EA6B163E751&amp;req=doc&amp;base=LAW&amp;n=389333&amp;dst=101868&amp;fld=134&amp;date=16.08.2021" TargetMode="External"/><Relationship Id="rId14" Type="http://schemas.openxmlformats.org/officeDocument/2006/relationships/hyperlink" Target="https://login.consultant.ru/link/?rnd=0EBDB3960EA059C0B6226EA6B163E751&amp;req=doc&amp;base=LAW&amp;n=376379&amp;dst=100041&amp;fld=134&amp;REFFIELD=134&amp;REFDST=18890&amp;REFDOC=389333&amp;REFBASE=LAW&amp;stat=refcode%3D16610%3Bdstident%3D100041%3Bindex%3D692&amp;date=16.08.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2163</Words>
  <Characters>12333</Characters>
  <Application>Microsoft Office Word</Application>
  <DocSecurity>0</DocSecurity>
  <Lines>102</Lines>
  <Paragraphs>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Абдеева Ирина Сергеевна</dc:creator>
  <cp:keywords/>
  <dc:description/>
  <cp:lastModifiedBy>User</cp:lastModifiedBy>
  <cp:revision>4</cp:revision>
  <dcterms:created xsi:type="dcterms:W3CDTF">2021-10-11T08:22:00Z</dcterms:created>
  <dcterms:modified xsi:type="dcterms:W3CDTF">2021-10-28T13:57:00Z</dcterms:modified>
</cp:coreProperties>
</file>